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8F7CC4" w14:textId="77777777" w:rsidR="00353BD1" w:rsidRDefault="00353BD1">
      <w:pPr>
        <w:adjustRightInd w:val="0"/>
        <w:snapToGrid w:val="0"/>
        <w:spacing w:line="360" w:lineRule="auto"/>
        <w:jc w:val="center"/>
        <w:rPr>
          <w:rFonts w:ascii="宋体" w:hAnsi="宋体" w:cs="Arial"/>
          <w:sz w:val="24"/>
        </w:rPr>
      </w:pPr>
    </w:p>
    <w:p w14:paraId="6EB25B71" w14:textId="77777777" w:rsidR="00353BD1" w:rsidRDefault="00353BD1">
      <w:pPr>
        <w:adjustRightInd w:val="0"/>
        <w:snapToGrid w:val="0"/>
        <w:spacing w:line="360" w:lineRule="auto"/>
        <w:jc w:val="center"/>
        <w:rPr>
          <w:rFonts w:ascii="宋体" w:hAnsi="宋体" w:cs="Arial"/>
          <w:sz w:val="24"/>
        </w:rPr>
      </w:pPr>
    </w:p>
    <w:p w14:paraId="4B6B0226" w14:textId="77777777" w:rsidR="00353BD1" w:rsidRDefault="00353BD1">
      <w:pPr>
        <w:adjustRightInd w:val="0"/>
        <w:snapToGrid w:val="0"/>
        <w:spacing w:line="360" w:lineRule="auto"/>
        <w:jc w:val="center"/>
        <w:rPr>
          <w:rFonts w:ascii="宋体" w:hAnsi="宋体" w:cs="Arial"/>
          <w:sz w:val="24"/>
        </w:rPr>
      </w:pPr>
    </w:p>
    <w:p w14:paraId="633E4EA2" w14:textId="77777777" w:rsidR="00353BD1" w:rsidRDefault="00353BD1">
      <w:pPr>
        <w:adjustRightInd w:val="0"/>
        <w:snapToGrid w:val="0"/>
        <w:spacing w:line="360" w:lineRule="auto"/>
        <w:jc w:val="center"/>
        <w:rPr>
          <w:rFonts w:ascii="宋体" w:hAnsi="宋体" w:cs="Arial"/>
          <w:sz w:val="24"/>
        </w:rPr>
      </w:pPr>
    </w:p>
    <w:p w14:paraId="685B8D18" w14:textId="77777777" w:rsidR="00353BD1" w:rsidRDefault="00353BD1">
      <w:pPr>
        <w:adjustRightInd w:val="0"/>
        <w:snapToGrid w:val="0"/>
        <w:spacing w:line="360" w:lineRule="auto"/>
        <w:jc w:val="center"/>
        <w:rPr>
          <w:rFonts w:ascii="宋体" w:hAnsi="宋体" w:cs="Arial"/>
          <w:sz w:val="24"/>
        </w:rPr>
      </w:pPr>
    </w:p>
    <w:p w14:paraId="1B40AF4F" w14:textId="77777777" w:rsidR="00353BD1" w:rsidRDefault="00353BD1">
      <w:pPr>
        <w:adjustRightInd w:val="0"/>
        <w:snapToGrid w:val="0"/>
        <w:spacing w:line="360" w:lineRule="auto"/>
        <w:jc w:val="center"/>
        <w:rPr>
          <w:rFonts w:ascii="宋体" w:hAnsi="宋体" w:cs="Arial"/>
          <w:sz w:val="24"/>
        </w:rPr>
      </w:pPr>
    </w:p>
    <w:p w14:paraId="1B921828" w14:textId="77777777" w:rsidR="00353BD1" w:rsidRDefault="00353BD1">
      <w:pPr>
        <w:adjustRightInd w:val="0"/>
        <w:snapToGrid w:val="0"/>
        <w:spacing w:line="360" w:lineRule="auto"/>
        <w:jc w:val="center"/>
        <w:rPr>
          <w:rFonts w:ascii="宋体" w:hAnsi="宋体" w:cs="Arial"/>
          <w:sz w:val="24"/>
        </w:rPr>
      </w:pPr>
    </w:p>
    <w:p w14:paraId="4EB581AF" w14:textId="77777777" w:rsidR="00353BD1" w:rsidRDefault="00353BD1">
      <w:pPr>
        <w:adjustRightInd w:val="0"/>
        <w:snapToGrid w:val="0"/>
        <w:spacing w:line="360" w:lineRule="auto"/>
        <w:jc w:val="center"/>
        <w:rPr>
          <w:rFonts w:ascii="宋体" w:hAnsi="宋体" w:cs="Arial"/>
          <w:sz w:val="24"/>
        </w:rPr>
      </w:pPr>
    </w:p>
    <w:p w14:paraId="243CF789" w14:textId="77777777" w:rsidR="00353BD1" w:rsidRDefault="00353BD1">
      <w:pPr>
        <w:adjustRightInd w:val="0"/>
        <w:snapToGrid w:val="0"/>
        <w:spacing w:line="360" w:lineRule="auto"/>
        <w:jc w:val="center"/>
        <w:rPr>
          <w:rFonts w:ascii="宋体" w:hAnsi="宋体" w:cs="Arial"/>
          <w:sz w:val="24"/>
        </w:rPr>
      </w:pPr>
    </w:p>
    <w:p w14:paraId="51F0F7E5" w14:textId="77777777" w:rsidR="00353BD1" w:rsidRDefault="00353BD1">
      <w:pPr>
        <w:adjustRightInd w:val="0"/>
        <w:snapToGrid w:val="0"/>
        <w:spacing w:line="360" w:lineRule="auto"/>
        <w:jc w:val="center"/>
        <w:rPr>
          <w:rFonts w:ascii="宋体" w:hAnsi="宋体" w:cs="Arial"/>
          <w:sz w:val="24"/>
        </w:rPr>
      </w:pPr>
    </w:p>
    <w:p w14:paraId="2462DDB7" w14:textId="77777777" w:rsidR="00353BD1" w:rsidRDefault="00353BD1">
      <w:pPr>
        <w:adjustRightInd w:val="0"/>
        <w:snapToGrid w:val="0"/>
        <w:spacing w:line="360" w:lineRule="auto"/>
        <w:jc w:val="center"/>
        <w:rPr>
          <w:rFonts w:ascii="宋体" w:hAnsi="宋体" w:cs="Arial"/>
          <w:sz w:val="24"/>
        </w:rPr>
      </w:pPr>
    </w:p>
    <w:p w14:paraId="2A45F901" w14:textId="4E787B59" w:rsidR="00F65041" w:rsidRDefault="00B24F00">
      <w:pPr>
        <w:adjustRightInd w:val="0"/>
        <w:snapToGrid w:val="0"/>
        <w:spacing w:line="360" w:lineRule="auto"/>
        <w:jc w:val="center"/>
        <w:rPr>
          <w:rFonts w:ascii="宋体" w:hAnsi="宋体" w:cs="Arial"/>
          <w:b/>
          <w:sz w:val="44"/>
        </w:rPr>
      </w:pPr>
      <w:r>
        <w:rPr>
          <w:rFonts w:ascii="宋体" w:hAnsi="宋体" w:cs="Arial" w:hint="eastAsia"/>
          <w:b/>
          <w:sz w:val="44"/>
        </w:rPr>
        <w:t>广发悦丰多元稳健三个月持有期混合型</w:t>
      </w:r>
    </w:p>
    <w:p w14:paraId="7FE080EE" w14:textId="2FB0BCC1" w:rsidR="00353BD1" w:rsidRDefault="00B24F00">
      <w:pPr>
        <w:adjustRightInd w:val="0"/>
        <w:snapToGrid w:val="0"/>
        <w:spacing w:line="360" w:lineRule="auto"/>
        <w:jc w:val="center"/>
        <w:rPr>
          <w:rFonts w:ascii="宋体" w:hAnsi="宋体" w:cs="Arial"/>
          <w:b/>
          <w:sz w:val="44"/>
        </w:rPr>
      </w:pPr>
      <w:r>
        <w:rPr>
          <w:rFonts w:ascii="宋体" w:hAnsi="宋体" w:cs="Arial" w:hint="eastAsia"/>
          <w:b/>
          <w:sz w:val="44"/>
        </w:rPr>
        <w:t>基金中基金（FOF）</w:t>
      </w:r>
      <w:r w:rsidR="00064D22">
        <w:rPr>
          <w:rFonts w:ascii="宋体" w:hAnsi="宋体" w:cs="Arial" w:hint="eastAsia"/>
          <w:b/>
          <w:sz w:val="44"/>
        </w:rPr>
        <w:t>托管协议</w:t>
      </w:r>
    </w:p>
    <w:p w14:paraId="62BF274A" w14:textId="5FC4DF1F" w:rsidR="00353BD1" w:rsidRDefault="00353BD1">
      <w:pPr>
        <w:adjustRightInd w:val="0"/>
        <w:snapToGrid w:val="0"/>
        <w:spacing w:line="360" w:lineRule="auto"/>
        <w:jc w:val="center"/>
        <w:rPr>
          <w:rFonts w:ascii="宋体" w:hAnsi="宋体" w:cs="Arial"/>
          <w:b/>
          <w:sz w:val="44"/>
        </w:rPr>
      </w:pPr>
    </w:p>
    <w:p w14:paraId="5A533366" w14:textId="77777777" w:rsidR="00353BD1" w:rsidRDefault="00353BD1">
      <w:pPr>
        <w:adjustRightInd w:val="0"/>
        <w:snapToGrid w:val="0"/>
        <w:spacing w:line="360" w:lineRule="auto"/>
        <w:jc w:val="center"/>
        <w:outlineLvl w:val="0"/>
        <w:rPr>
          <w:rFonts w:ascii="宋体" w:hAnsi="宋体" w:cs="Arial"/>
          <w:sz w:val="24"/>
        </w:rPr>
      </w:pPr>
    </w:p>
    <w:p w14:paraId="44E7B103" w14:textId="77777777" w:rsidR="00353BD1" w:rsidRDefault="00353BD1">
      <w:pPr>
        <w:adjustRightInd w:val="0"/>
        <w:snapToGrid w:val="0"/>
        <w:spacing w:line="360" w:lineRule="auto"/>
        <w:jc w:val="center"/>
        <w:outlineLvl w:val="0"/>
        <w:rPr>
          <w:rFonts w:ascii="宋体" w:hAnsi="宋体" w:cs="Arial"/>
          <w:sz w:val="24"/>
        </w:rPr>
      </w:pPr>
    </w:p>
    <w:p w14:paraId="077E9B95" w14:textId="77777777" w:rsidR="00353BD1" w:rsidRDefault="00353BD1">
      <w:pPr>
        <w:adjustRightInd w:val="0"/>
        <w:snapToGrid w:val="0"/>
        <w:spacing w:line="360" w:lineRule="auto"/>
        <w:jc w:val="center"/>
        <w:outlineLvl w:val="0"/>
        <w:rPr>
          <w:rFonts w:ascii="宋体" w:hAnsi="宋体" w:cs="Arial"/>
          <w:sz w:val="24"/>
        </w:rPr>
      </w:pPr>
    </w:p>
    <w:p w14:paraId="1F234E4A" w14:textId="77777777" w:rsidR="00353BD1" w:rsidRDefault="00353BD1">
      <w:pPr>
        <w:adjustRightInd w:val="0"/>
        <w:snapToGrid w:val="0"/>
        <w:spacing w:line="360" w:lineRule="auto"/>
        <w:jc w:val="center"/>
        <w:outlineLvl w:val="0"/>
        <w:rPr>
          <w:rFonts w:ascii="宋体" w:hAnsi="宋体" w:cs="Arial"/>
          <w:sz w:val="24"/>
        </w:rPr>
      </w:pPr>
    </w:p>
    <w:p w14:paraId="287F3856" w14:textId="77777777" w:rsidR="00353BD1" w:rsidRDefault="00353BD1">
      <w:pPr>
        <w:adjustRightInd w:val="0"/>
        <w:snapToGrid w:val="0"/>
        <w:spacing w:line="360" w:lineRule="auto"/>
        <w:jc w:val="center"/>
        <w:outlineLvl w:val="0"/>
        <w:rPr>
          <w:rFonts w:ascii="宋体" w:hAnsi="宋体" w:cs="Arial"/>
          <w:sz w:val="24"/>
        </w:rPr>
      </w:pPr>
    </w:p>
    <w:p w14:paraId="33A111B6" w14:textId="77777777" w:rsidR="00353BD1" w:rsidRDefault="00353BD1">
      <w:pPr>
        <w:adjustRightInd w:val="0"/>
        <w:snapToGrid w:val="0"/>
        <w:spacing w:line="360" w:lineRule="auto"/>
        <w:jc w:val="center"/>
        <w:outlineLvl w:val="0"/>
        <w:rPr>
          <w:rFonts w:ascii="宋体" w:hAnsi="宋体" w:cs="Arial"/>
          <w:sz w:val="24"/>
        </w:rPr>
      </w:pPr>
    </w:p>
    <w:p w14:paraId="45313E1F" w14:textId="77777777" w:rsidR="00353BD1" w:rsidRDefault="00064D22">
      <w:pPr>
        <w:adjustRightInd w:val="0"/>
        <w:snapToGrid w:val="0"/>
        <w:spacing w:line="360" w:lineRule="auto"/>
        <w:jc w:val="center"/>
        <w:outlineLvl w:val="0"/>
        <w:rPr>
          <w:rFonts w:ascii="宋体" w:hAnsi="宋体" w:cs="Arial"/>
          <w:b/>
          <w:bCs/>
          <w:sz w:val="28"/>
        </w:rPr>
      </w:pPr>
      <w:r>
        <w:rPr>
          <w:rFonts w:ascii="宋体" w:hAnsi="宋体" w:cs="Arial" w:hint="eastAsia"/>
          <w:b/>
          <w:bCs/>
          <w:sz w:val="28"/>
        </w:rPr>
        <w:t>基金管理人：广发基金管理有限公司</w:t>
      </w:r>
    </w:p>
    <w:p w14:paraId="0D28FE49" w14:textId="77777777" w:rsidR="00353BD1" w:rsidRDefault="00064D22">
      <w:pPr>
        <w:adjustRightInd w:val="0"/>
        <w:snapToGrid w:val="0"/>
        <w:spacing w:line="360" w:lineRule="auto"/>
        <w:jc w:val="center"/>
        <w:outlineLvl w:val="0"/>
        <w:rPr>
          <w:rFonts w:ascii="宋体" w:hAnsi="宋体" w:cs="Arial"/>
          <w:b/>
          <w:bCs/>
          <w:sz w:val="28"/>
        </w:rPr>
      </w:pPr>
      <w:r>
        <w:rPr>
          <w:rFonts w:ascii="宋体" w:hAnsi="宋体" w:cs="Arial" w:hint="eastAsia"/>
          <w:b/>
          <w:bCs/>
          <w:sz w:val="28"/>
        </w:rPr>
        <w:t xml:space="preserve">    基金托管人：中国建设银行股份有限公司</w:t>
      </w:r>
    </w:p>
    <w:p w14:paraId="78AFF3E2" w14:textId="77777777" w:rsidR="00353BD1" w:rsidRDefault="00353BD1">
      <w:pPr>
        <w:adjustRightInd w:val="0"/>
        <w:snapToGrid w:val="0"/>
        <w:spacing w:line="360" w:lineRule="auto"/>
        <w:outlineLvl w:val="0"/>
        <w:rPr>
          <w:rFonts w:ascii="宋体" w:hAnsi="宋体" w:cs="Arial"/>
          <w:sz w:val="24"/>
        </w:rPr>
      </w:pPr>
    </w:p>
    <w:p w14:paraId="112C1C3E" w14:textId="77777777" w:rsidR="00353BD1" w:rsidRDefault="00064D22">
      <w:pPr>
        <w:adjustRightInd w:val="0"/>
        <w:snapToGrid w:val="0"/>
        <w:spacing w:line="360" w:lineRule="auto"/>
        <w:outlineLvl w:val="0"/>
        <w:rPr>
          <w:rFonts w:ascii="宋体" w:hAnsi="宋体" w:cs="Arial"/>
          <w:sz w:val="24"/>
        </w:rPr>
      </w:pPr>
      <w:r>
        <w:rPr>
          <w:rFonts w:ascii="宋体" w:hAnsi="宋体" w:cs="Arial" w:hint="eastAsia"/>
          <w:sz w:val="24"/>
        </w:rPr>
        <w:t xml:space="preserve">                       </w:t>
      </w:r>
    </w:p>
    <w:p w14:paraId="644422CE" w14:textId="77777777" w:rsidR="00353BD1" w:rsidRDefault="00353BD1">
      <w:pPr>
        <w:adjustRightInd w:val="0"/>
        <w:snapToGrid w:val="0"/>
        <w:spacing w:line="360" w:lineRule="auto"/>
        <w:jc w:val="center"/>
        <w:rPr>
          <w:rFonts w:ascii="宋体" w:hAnsi="宋体" w:cs="Arial"/>
          <w:bCs/>
          <w:sz w:val="24"/>
        </w:rPr>
      </w:pPr>
    </w:p>
    <w:p w14:paraId="24F82017" w14:textId="77777777" w:rsidR="00353BD1" w:rsidRDefault="00353BD1">
      <w:pPr>
        <w:adjustRightInd w:val="0"/>
        <w:snapToGrid w:val="0"/>
        <w:spacing w:line="360" w:lineRule="auto"/>
        <w:jc w:val="center"/>
        <w:rPr>
          <w:rFonts w:ascii="宋体" w:hAnsi="宋体" w:cs="Arial"/>
          <w:bCs/>
          <w:sz w:val="24"/>
        </w:rPr>
      </w:pPr>
    </w:p>
    <w:p w14:paraId="5DF3D15E" w14:textId="77777777" w:rsidR="00353BD1" w:rsidRDefault="00353BD1">
      <w:pPr>
        <w:adjustRightInd w:val="0"/>
        <w:snapToGrid w:val="0"/>
        <w:spacing w:line="360" w:lineRule="auto"/>
        <w:jc w:val="center"/>
        <w:rPr>
          <w:rFonts w:ascii="宋体" w:hAnsi="宋体" w:cs="Arial"/>
          <w:bCs/>
          <w:sz w:val="24"/>
        </w:rPr>
      </w:pPr>
    </w:p>
    <w:p w14:paraId="0D4C91F9" w14:textId="77777777" w:rsidR="00353BD1" w:rsidRDefault="00353BD1">
      <w:pPr>
        <w:adjustRightInd w:val="0"/>
        <w:snapToGrid w:val="0"/>
        <w:spacing w:line="360" w:lineRule="auto"/>
        <w:jc w:val="center"/>
        <w:rPr>
          <w:rFonts w:ascii="宋体" w:hAnsi="宋体" w:cs="Arial"/>
          <w:bCs/>
          <w:sz w:val="24"/>
        </w:rPr>
        <w:sectPr w:rsidR="00353BD1">
          <w:footerReference w:type="even" r:id="rId7"/>
          <w:footerReference w:type="default" r:id="rId8"/>
          <w:pgSz w:w="11906" w:h="16838"/>
          <w:pgMar w:top="1418" w:right="1701" w:bottom="1418" w:left="1701" w:header="851" w:footer="992" w:gutter="0"/>
          <w:cols w:space="720"/>
          <w:docGrid w:type="lines" w:linePitch="312"/>
        </w:sectPr>
      </w:pPr>
    </w:p>
    <w:p w14:paraId="4D88C863" w14:textId="77777777" w:rsidR="00353BD1" w:rsidRDefault="00353BD1">
      <w:pPr>
        <w:adjustRightInd w:val="0"/>
        <w:snapToGrid w:val="0"/>
        <w:spacing w:line="360" w:lineRule="auto"/>
        <w:rPr>
          <w:rFonts w:ascii="宋体" w:hAnsi="宋体" w:cs="Arial"/>
          <w:bCs/>
          <w:sz w:val="24"/>
        </w:rPr>
      </w:pPr>
    </w:p>
    <w:p w14:paraId="137C4A05" w14:textId="77777777" w:rsidR="00353BD1" w:rsidRDefault="00064D22">
      <w:pPr>
        <w:spacing w:line="360" w:lineRule="auto"/>
        <w:jc w:val="center"/>
        <w:rPr>
          <w:rFonts w:ascii="宋体" w:hAnsi="宋体"/>
          <w:b/>
          <w:bCs/>
          <w:sz w:val="30"/>
        </w:rPr>
      </w:pPr>
      <w:r>
        <w:rPr>
          <w:rFonts w:ascii="宋体" w:hAnsi="宋体" w:hint="eastAsia"/>
          <w:b/>
          <w:bCs/>
          <w:sz w:val="30"/>
        </w:rPr>
        <w:t>目    录</w:t>
      </w:r>
    </w:p>
    <w:p w14:paraId="2230634E" w14:textId="1F8C8CFF" w:rsidR="00353BD1" w:rsidRDefault="00064D22">
      <w:pPr>
        <w:pStyle w:val="23"/>
        <w:tabs>
          <w:tab w:val="right" w:leader="dot" w:pos="8494"/>
        </w:tabs>
        <w:spacing w:line="360" w:lineRule="auto"/>
        <w:rPr>
          <w:rFonts w:ascii="宋体" w:hAnsi="宋体"/>
          <w:noProof/>
          <w:sz w:val="24"/>
        </w:rPr>
      </w:pPr>
      <w:r>
        <w:rPr>
          <w:rFonts w:ascii="宋体" w:hAnsi="宋体" w:hint="eastAsia"/>
          <w:sz w:val="28"/>
        </w:rPr>
        <w:fldChar w:fldCharType="begin"/>
      </w:r>
      <w:r>
        <w:rPr>
          <w:rFonts w:ascii="宋体" w:hAnsi="宋体" w:hint="eastAsia"/>
          <w:sz w:val="28"/>
        </w:rPr>
        <w:instrText xml:space="preserve"> TOC \o "1-2" \h \z </w:instrText>
      </w:r>
      <w:r>
        <w:rPr>
          <w:rFonts w:ascii="宋体" w:hAnsi="宋体" w:hint="eastAsia"/>
          <w:sz w:val="28"/>
        </w:rPr>
        <w:fldChar w:fldCharType="separate"/>
      </w:r>
      <w:hyperlink w:anchor="_Toc124325885" w:history="1">
        <w:r>
          <w:rPr>
            <w:rStyle w:val="af1"/>
            <w:rFonts w:ascii="宋体" w:hAnsi="宋体" w:hint="eastAsia"/>
            <w:noProof/>
            <w:sz w:val="24"/>
          </w:rPr>
          <w:t>一、基金托管协议当</w:t>
        </w:r>
        <w:bookmarkStart w:id="0" w:name="_Hlt498420681"/>
        <w:bookmarkStart w:id="1" w:name="_Hlt498420680"/>
        <w:r>
          <w:rPr>
            <w:rStyle w:val="af1"/>
            <w:rFonts w:ascii="宋体" w:hAnsi="宋体" w:hint="eastAsia"/>
            <w:noProof/>
            <w:sz w:val="24"/>
          </w:rPr>
          <w:t>事</w:t>
        </w:r>
        <w:bookmarkEnd w:id="0"/>
        <w:bookmarkEnd w:id="1"/>
        <w:r>
          <w:rPr>
            <w:rStyle w:val="af1"/>
            <w:rFonts w:ascii="宋体" w:hAnsi="宋体" w:hint="eastAsia"/>
            <w:noProof/>
            <w:sz w:val="24"/>
          </w:rPr>
          <w:t>人</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PAGEREF _Toc124325885 \h </w:instrText>
        </w:r>
        <w:r>
          <w:rPr>
            <w:rFonts w:ascii="宋体" w:hAnsi="宋体" w:hint="eastAsia"/>
            <w:noProof/>
            <w:sz w:val="24"/>
          </w:rPr>
        </w:r>
        <w:r>
          <w:rPr>
            <w:rFonts w:ascii="宋体" w:hAnsi="宋体" w:hint="eastAsia"/>
            <w:noProof/>
            <w:sz w:val="24"/>
          </w:rPr>
          <w:fldChar w:fldCharType="separate"/>
        </w:r>
        <w:r w:rsidR="00516A97">
          <w:rPr>
            <w:rFonts w:ascii="宋体" w:hAnsi="宋体"/>
            <w:noProof/>
            <w:sz w:val="24"/>
          </w:rPr>
          <w:t>3</w:t>
        </w:r>
        <w:r>
          <w:rPr>
            <w:rFonts w:ascii="宋体" w:hAnsi="宋体" w:hint="eastAsia"/>
            <w:noProof/>
            <w:sz w:val="24"/>
          </w:rPr>
          <w:fldChar w:fldCharType="end"/>
        </w:r>
      </w:hyperlink>
    </w:p>
    <w:p w14:paraId="355E77BC" w14:textId="6CBCA915" w:rsidR="00353BD1" w:rsidRDefault="002A3F27">
      <w:pPr>
        <w:pStyle w:val="23"/>
        <w:tabs>
          <w:tab w:val="right" w:leader="dot" w:pos="8494"/>
        </w:tabs>
        <w:spacing w:line="360" w:lineRule="auto"/>
        <w:rPr>
          <w:rFonts w:ascii="宋体" w:hAnsi="宋体"/>
          <w:noProof/>
          <w:sz w:val="24"/>
        </w:rPr>
      </w:pPr>
      <w:hyperlink w:anchor="_Toc124325886" w:history="1">
        <w:r w:rsidR="00064D22">
          <w:rPr>
            <w:rStyle w:val="af1"/>
            <w:rFonts w:ascii="宋体" w:hAnsi="宋体" w:hint="eastAsia"/>
            <w:noProof/>
            <w:sz w:val="24"/>
          </w:rPr>
          <w:t>二、基金托管协议的依据、目的和原则</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_Toc124325886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4</w:t>
        </w:r>
        <w:r w:rsidR="00064D22">
          <w:rPr>
            <w:rFonts w:ascii="宋体" w:hAnsi="宋体" w:hint="eastAsia"/>
            <w:noProof/>
            <w:sz w:val="24"/>
          </w:rPr>
          <w:fldChar w:fldCharType="end"/>
        </w:r>
      </w:hyperlink>
    </w:p>
    <w:p w14:paraId="04243D52" w14:textId="630759AD" w:rsidR="00353BD1" w:rsidRDefault="002A3F27">
      <w:pPr>
        <w:pStyle w:val="23"/>
        <w:tabs>
          <w:tab w:val="right" w:leader="dot" w:pos="8494"/>
        </w:tabs>
        <w:spacing w:line="360" w:lineRule="auto"/>
        <w:rPr>
          <w:rFonts w:ascii="宋体" w:hAnsi="宋体"/>
          <w:noProof/>
          <w:sz w:val="24"/>
        </w:rPr>
      </w:pPr>
      <w:hyperlink w:anchor="_Toc124325887" w:history="1">
        <w:r w:rsidR="00064D22">
          <w:rPr>
            <w:rStyle w:val="af1"/>
            <w:rFonts w:ascii="宋体" w:hAnsi="宋体" w:hint="eastAsia"/>
            <w:noProof/>
            <w:sz w:val="24"/>
          </w:rPr>
          <w:t>三、基金托管人对基金管理人的业务监督和核查</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_Toc124325887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5</w:t>
        </w:r>
        <w:r w:rsidR="00064D22">
          <w:rPr>
            <w:rFonts w:ascii="宋体" w:hAnsi="宋体" w:hint="eastAsia"/>
            <w:noProof/>
            <w:sz w:val="24"/>
          </w:rPr>
          <w:fldChar w:fldCharType="end"/>
        </w:r>
      </w:hyperlink>
    </w:p>
    <w:p w14:paraId="7D5113FB" w14:textId="5B66F1E8" w:rsidR="00353BD1" w:rsidRDefault="002A3F27">
      <w:pPr>
        <w:pStyle w:val="23"/>
        <w:tabs>
          <w:tab w:val="right" w:leader="dot" w:pos="8494"/>
        </w:tabs>
        <w:spacing w:line="360" w:lineRule="auto"/>
        <w:rPr>
          <w:rFonts w:ascii="宋体" w:hAnsi="宋体"/>
          <w:noProof/>
          <w:sz w:val="24"/>
        </w:rPr>
      </w:pPr>
      <w:hyperlink w:anchor="_Toc124325888" w:history="1">
        <w:r w:rsidR="00064D22">
          <w:rPr>
            <w:rStyle w:val="af1"/>
            <w:rFonts w:ascii="宋体" w:hAnsi="宋体" w:hint="eastAsia"/>
            <w:noProof/>
            <w:sz w:val="24"/>
          </w:rPr>
          <w:t>四、基金管理人对基金托管人的业务核查</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_Toc124325888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10</w:t>
        </w:r>
        <w:r w:rsidR="00064D22">
          <w:rPr>
            <w:rFonts w:ascii="宋体" w:hAnsi="宋体" w:hint="eastAsia"/>
            <w:noProof/>
            <w:sz w:val="24"/>
          </w:rPr>
          <w:fldChar w:fldCharType="end"/>
        </w:r>
      </w:hyperlink>
    </w:p>
    <w:p w14:paraId="2A786FEF" w14:textId="5600C563" w:rsidR="00353BD1" w:rsidRDefault="002A3F27">
      <w:pPr>
        <w:pStyle w:val="23"/>
        <w:tabs>
          <w:tab w:val="right" w:leader="dot" w:pos="8494"/>
        </w:tabs>
        <w:spacing w:line="360" w:lineRule="auto"/>
        <w:rPr>
          <w:rFonts w:ascii="宋体" w:hAnsi="宋体"/>
          <w:noProof/>
          <w:sz w:val="24"/>
        </w:rPr>
      </w:pPr>
      <w:hyperlink w:anchor="_Toc124325889" w:history="1">
        <w:r w:rsidR="00064D22">
          <w:rPr>
            <w:rStyle w:val="af1"/>
            <w:rFonts w:ascii="宋体" w:hAnsi="宋体" w:hint="eastAsia"/>
            <w:noProof/>
            <w:sz w:val="24"/>
          </w:rPr>
          <w:t>五、基金财产的保管</w:t>
        </w:r>
        <w:bookmarkStart w:id="2" w:name="_Hlt130398333"/>
        <w:bookmarkStart w:id="3" w:name="_Hlt130398332"/>
        <w:r w:rsidR="00064D22">
          <w:rPr>
            <w:rFonts w:ascii="宋体" w:hAnsi="宋体" w:hint="eastAsia"/>
            <w:noProof/>
            <w:sz w:val="24"/>
          </w:rPr>
          <w:tab/>
        </w:r>
        <w:bookmarkEnd w:id="2"/>
        <w:bookmarkEnd w:id="3"/>
        <w:r w:rsidR="00064D22">
          <w:rPr>
            <w:rFonts w:ascii="宋体" w:hAnsi="宋体" w:hint="eastAsia"/>
            <w:noProof/>
            <w:sz w:val="24"/>
          </w:rPr>
          <w:fldChar w:fldCharType="begin"/>
        </w:r>
        <w:r w:rsidR="00064D22">
          <w:rPr>
            <w:rFonts w:ascii="宋体" w:hAnsi="宋体" w:hint="eastAsia"/>
            <w:noProof/>
            <w:sz w:val="24"/>
          </w:rPr>
          <w:instrText xml:space="preserve"> PAGEREF _Toc124325889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11</w:t>
        </w:r>
        <w:r w:rsidR="00064D22">
          <w:rPr>
            <w:rFonts w:ascii="宋体" w:hAnsi="宋体" w:hint="eastAsia"/>
            <w:noProof/>
            <w:sz w:val="24"/>
          </w:rPr>
          <w:fldChar w:fldCharType="end"/>
        </w:r>
      </w:hyperlink>
    </w:p>
    <w:p w14:paraId="696ADF17" w14:textId="047ACA95" w:rsidR="00353BD1" w:rsidRDefault="002A3F27">
      <w:pPr>
        <w:pStyle w:val="23"/>
        <w:tabs>
          <w:tab w:val="right" w:leader="dot" w:pos="8494"/>
        </w:tabs>
        <w:spacing w:line="360" w:lineRule="auto"/>
        <w:rPr>
          <w:rFonts w:ascii="宋体" w:hAnsi="宋体"/>
          <w:noProof/>
          <w:sz w:val="24"/>
        </w:rPr>
      </w:pPr>
      <w:hyperlink w:anchor="_Toc124325890" w:history="1">
        <w:r w:rsidR="00064D22">
          <w:rPr>
            <w:rStyle w:val="af1"/>
            <w:rFonts w:ascii="宋体" w:hAnsi="宋体" w:hint="eastAsia"/>
            <w:noProof/>
            <w:sz w:val="24"/>
          </w:rPr>
          <w:t>六、指令的发送、确认及执行</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_Toc124325890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14</w:t>
        </w:r>
        <w:r w:rsidR="00064D22">
          <w:rPr>
            <w:rFonts w:ascii="宋体" w:hAnsi="宋体" w:hint="eastAsia"/>
            <w:noProof/>
            <w:sz w:val="24"/>
          </w:rPr>
          <w:fldChar w:fldCharType="end"/>
        </w:r>
      </w:hyperlink>
    </w:p>
    <w:p w14:paraId="43FD6932" w14:textId="24D61654" w:rsidR="00353BD1" w:rsidRDefault="002A3F27">
      <w:pPr>
        <w:pStyle w:val="23"/>
        <w:tabs>
          <w:tab w:val="right" w:leader="dot" w:pos="8494"/>
        </w:tabs>
        <w:spacing w:line="360" w:lineRule="auto"/>
        <w:rPr>
          <w:rFonts w:ascii="宋体" w:hAnsi="宋体"/>
          <w:noProof/>
          <w:sz w:val="24"/>
        </w:rPr>
      </w:pPr>
      <w:hyperlink w:anchor="_Toc124325891" w:history="1">
        <w:r w:rsidR="00064D22">
          <w:rPr>
            <w:rStyle w:val="af1"/>
            <w:rFonts w:ascii="宋体" w:hAnsi="宋体" w:hint="eastAsia"/>
            <w:noProof/>
            <w:sz w:val="24"/>
          </w:rPr>
          <w:t>七、交易及清算</w:t>
        </w:r>
        <w:bookmarkStart w:id="4" w:name="_Hlt497143548"/>
        <w:bookmarkStart w:id="5" w:name="_Hlt497143549"/>
        <w:r w:rsidR="00064D22">
          <w:rPr>
            <w:rStyle w:val="af1"/>
            <w:rFonts w:ascii="宋体" w:hAnsi="宋体" w:hint="eastAsia"/>
            <w:noProof/>
            <w:sz w:val="24"/>
          </w:rPr>
          <w:t>交</w:t>
        </w:r>
        <w:bookmarkEnd w:id="4"/>
        <w:bookmarkEnd w:id="5"/>
        <w:r w:rsidR="00064D22">
          <w:rPr>
            <w:rStyle w:val="af1"/>
            <w:rFonts w:ascii="宋体" w:hAnsi="宋体" w:hint="eastAsia"/>
            <w:noProof/>
            <w:sz w:val="24"/>
          </w:rPr>
          <w:t>收安</w:t>
        </w:r>
        <w:bookmarkStart w:id="6" w:name="_Hlt419449173"/>
        <w:r w:rsidR="00064D22">
          <w:rPr>
            <w:rStyle w:val="af1"/>
            <w:rFonts w:ascii="宋体" w:hAnsi="宋体" w:hint="eastAsia"/>
            <w:noProof/>
            <w:sz w:val="24"/>
          </w:rPr>
          <w:t>排</w:t>
        </w:r>
        <w:bookmarkEnd w:id="6"/>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_Toc124325891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17</w:t>
        </w:r>
        <w:r w:rsidR="00064D22">
          <w:rPr>
            <w:rFonts w:ascii="宋体" w:hAnsi="宋体" w:hint="eastAsia"/>
            <w:noProof/>
            <w:sz w:val="24"/>
          </w:rPr>
          <w:fldChar w:fldCharType="end"/>
        </w:r>
      </w:hyperlink>
    </w:p>
    <w:p w14:paraId="6BB975F5" w14:textId="72781A72" w:rsidR="00353BD1" w:rsidRDefault="002A3F27">
      <w:pPr>
        <w:pStyle w:val="23"/>
        <w:tabs>
          <w:tab w:val="right" w:leader="dot" w:pos="8494"/>
        </w:tabs>
        <w:spacing w:line="360" w:lineRule="auto"/>
        <w:rPr>
          <w:rFonts w:ascii="宋体" w:hAnsi="宋体"/>
          <w:noProof/>
          <w:sz w:val="24"/>
        </w:rPr>
      </w:pPr>
      <w:hyperlink w:anchor="_Toc124325892" w:history="1">
        <w:r w:rsidR="00064D22">
          <w:rPr>
            <w:rStyle w:val="af1"/>
            <w:rFonts w:ascii="宋体" w:hAnsi="宋体" w:hint="eastAsia"/>
            <w:noProof/>
            <w:sz w:val="24"/>
          </w:rPr>
          <w:t>八、基金资产净值</w:t>
        </w:r>
        <w:bookmarkStart w:id="7" w:name="_Hlt419449178"/>
        <w:r w:rsidR="00064D22">
          <w:rPr>
            <w:rStyle w:val="af1"/>
            <w:rFonts w:ascii="宋体" w:hAnsi="宋体" w:hint="eastAsia"/>
            <w:noProof/>
            <w:sz w:val="24"/>
          </w:rPr>
          <w:t>计</w:t>
        </w:r>
        <w:bookmarkEnd w:id="7"/>
        <w:r w:rsidR="00064D22">
          <w:rPr>
            <w:rStyle w:val="af1"/>
            <w:rFonts w:ascii="宋体" w:hAnsi="宋体" w:hint="eastAsia"/>
            <w:noProof/>
            <w:sz w:val="24"/>
          </w:rPr>
          <w:t>算和会计核算</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_Toc124325892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23</w:t>
        </w:r>
        <w:r w:rsidR="00064D22">
          <w:rPr>
            <w:rFonts w:ascii="宋体" w:hAnsi="宋体" w:hint="eastAsia"/>
            <w:noProof/>
            <w:sz w:val="24"/>
          </w:rPr>
          <w:fldChar w:fldCharType="end"/>
        </w:r>
      </w:hyperlink>
    </w:p>
    <w:p w14:paraId="44EF2D31" w14:textId="2FE62E72" w:rsidR="00353BD1" w:rsidRDefault="002A3F27">
      <w:pPr>
        <w:pStyle w:val="23"/>
        <w:tabs>
          <w:tab w:val="right" w:leader="dot" w:pos="8494"/>
        </w:tabs>
        <w:spacing w:line="360" w:lineRule="auto"/>
        <w:rPr>
          <w:rFonts w:ascii="宋体" w:hAnsi="宋体"/>
          <w:noProof/>
          <w:sz w:val="24"/>
        </w:rPr>
      </w:pPr>
      <w:hyperlink w:anchor="_Toc124325893" w:history="1">
        <w:r w:rsidR="00064D22">
          <w:rPr>
            <w:rStyle w:val="af1"/>
            <w:rFonts w:ascii="宋体" w:hAnsi="宋体" w:hint="eastAsia"/>
            <w:noProof/>
            <w:sz w:val="24"/>
          </w:rPr>
          <w:t>九、基金收益分配</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_Toc124325893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29</w:t>
        </w:r>
        <w:r w:rsidR="00064D22">
          <w:rPr>
            <w:rFonts w:ascii="宋体" w:hAnsi="宋体" w:hint="eastAsia"/>
            <w:noProof/>
            <w:sz w:val="24"/>
          </w:rPr>
          <w:fldChar w:fldCharType="end"/>
        </w:r>
      </w:hyperlink>
    </w:p>
    <w:p w14:paraId="26A58DF0" w14:textId="124CE82A" w:rsidR="00353BD1" w:rsidRDefault="002A3F27">
      <w:pPr>
        <w:pStyle w:val="23"/>
        <w:tabs>
          <w:tab w:val="right" w:leader="dot" w:pos="8494"/>
        </w:tabs>
        <w:spacing w:line="360" w:lineRule="auto"/>
        <w:rPr>
          <w:rFonts w:ascii="宋体" w:hAnsi="宋体"/>
          <w:noProof/>
          <w:sz w:val="24"/>
        </w:rPr>
      </w:pPr>
      <w:hyperlink w:anchor="_Toc124325894" w:history="1">
        <w:r w:rsidR="00064D22">
          <w:rPr>
            <w:rStyle w:val="af1"/>
            <w:rFonts w:ascii="宋体" w:hAnsi="宋体" w:hint="eastAsia"/>
            <w:noProof/>
            <w:sz w:val="24"/>
          </w:rPr>
          <w:t>十、基金信息披露</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_Toc124325894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30</w:t>
        </w:r>
        <w:r w:rsidR="00064D22">
          <w:rPr>
            <w:rFonts w:ascii="宋体" w:hAnsi="宋体" w:hint="eastAsia"/>
            <w:noProof/>
            <w:sz w:val="24"/>
          </w:rPr>
          <w:fldChar w:fldCharType="end"/>
        </w:r>
      </w:hyperlink>
    </w:p>
    <w:p w14:paraId="3843018F" w14:textId="3232DCAF" w:rsidR="00353BD1" w:rsidRDefault="002A3F27">
      <w:pPr>
        <w:pStyle w:val="23"/>
        <w:tabs>
          <w:tab w:val="right" w:leader="dot" w:pos="8494"/>
        </w:tabs>
        <w:spacing w:line="360" w:lineRule="auto"/>
        <w:rPr>
          <w:rFonts w:ascii="宋体" w:hAnsi="宋体"/>
          <w:noProof/>
          <w:sz w:val="24"/>
        </w:rPr>
      </w:pPr>
      <w:hyperlink w:anchor="_Toc124325895" w:history="1">
        <w:r w:rsidR="00064D22">
          <w:rPr>
            <w:rStyle w:val="af1"/>
            <w:rFonts w:ascii="宋体" w:hAnsi="宋体" w:hint="eastAsia"/>
            <w:noProof/>
            <w:sz w:val="24"/>
          </w:rPr>
          <w:t>十一、基金费用</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_Toc124325895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32</w:t>
        </w:r>
        <w:r w:rsidR="00064D22">
          <w:rPr>
            <w:rFonts w:ascii="宋体" w:hAnsi="宋体" w:hint="eastAsia"/>
            <w:noProof/>
            <w:sz w:val="24"/>
          </w:rPr>
          <w:fldChar w:fldCharType="end"/>
        </w:r>
      </w:hyperlink>
    </w:p>
    <w:p w14:paraId="7D9FAED3" w14:textId="761CC9D3" w:rsidR="00353BD1" w:rsidRDefault="002A3F27">
      <w:pPr>
        <w:pStyle w:val="23"/>
        <w:tabs>
          <w:tab w:val="right" w:leader="dot" w:pos="8494"/>
        </w:tabs>
        <w:spacing w:line="360" w:lineRule="auto"/>
        <w:rPr>
          <w:rFonts w:ascii="宋体" w:hAnsi="宋体"/>
          <w:noProof/>
          <w:sz w:val="24"/>
        </w:rPr>
      </w:pPr>
      <w:hyperlink w:anchor="_Toc124325896" w:history="1">
        <w:r w:rsidR="00064D22">
          <w:rPr>
            <w:rStyle w:val="af1"/>
            <w:rFonts w:ascii="宋体" w:hAnsi="宋体" w:hint="eastAsia"/>
            <w:noProof/>
            <w:sz w:val="24"/>
          </w:rPr>
          <w:t>十二、基金份额持有人名册的保管</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_Toc124325896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35</w:t>
        </w:r>
        <w:r w:rsidR="00064D22">
          <w:rPr>
            <w:rFonts w:ascii="宋体" w:hAnsi="宋体" w:hint="eastAsia"/>
            <w:noProof/>
            <w:sz w:val="24"/>
          </w:rPr>
          <w:fldChar w:fldCharType="end"/>
        </w:r>
      </w:hyperlink>
    </w:p>
    <w:p w14:paraId="7202D9B9" w14:textId="4E2A13A2" w:rsidR="00353BD1" w:rsidRDefault="002A3F27">
      <w:pPr>
        <w:pStyle w:val="23"/>
        <w:tabs>
          <w:tab w:val="right" w:leader="dot" w:pos="8494"/>
        </w:tabs>
        <w:spacing w:line="360" w:lineRule="auto"/>
        <w:rPr>
          <w:rFonts w:ascii="宋体" w:hAnsi="宋体"/>
          <w:noProof/>
          <w:sz w:val="24"/>
        </w:rPr>
      </w:pPr>
      <w:hyperlink w:anchor="_Toc124325897" w:history="1">
        <w:r w:rsidR="00064D22">
          <w:rPr>
            <w:rStyle w:val="af1"/>
            <w:rFonts w:ascii="宋体" w:hAnsi="宋体" w:hint="eastAsia"/>
            <w:noProof/>
            <w:sz w:val="24"/>
          </w:rPr>
          <w:t>十三、基金有关文件档案的保存</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_Toc124325897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35</w:t>
        </w:r>
        <w:r w:rsidR="00064D22">
          <w:rPr>
            <w:rFonts w:ascii="宋体" w:hAnsi="宋体" w:hint="eastAsia"/>
            <w:noProof/>
            <w:sz w:val="24"/>
          </w:rPr>
          <w:fldChar w:fldCharType="end"/>
        </w:r>
      </w:hyperlink>
    </w:p>
    <w:p w14:paraId="72677ED2" w14:textId="33807953" w:rsidR="00353BD1" w:rsidRDefault="002A3F27">
      <w:pPr>
        <w:pStyle w:val="23"/>
        <w:tabs>
          <w:tab w:val="right" w:leader="dot" w:pos="8494"/>
        </w:tabs>
        <w:spacing w:line="360" w:lineRule="auto"/>
        <w:rPr>
          <w:rFonts w:ascii="宋体" w:hAnsi="宋体"/>
          <w:noProof/>
          <w:sz w:val="24"/>
        </w:rPr>
      </w:pPr>
      <w:hyperlink w:anchor="_Toc124325898" w:history="1">
        <w:r w:rsidR="00064D22">
          <w:rPr>
            <w:rStyle w:val="af1"/>
            <w:rFonts w:ascii="宋体" w:hAnsi="宋体" w:hint="eastAsia"/>
            <w:noProof/>
            <w:sz w:val="24"/>
          </w:rPr>
          <w:t>十四、基金管理人和基金托管人的更换</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_Toc124325898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36</w:t>
        </w:r>
        <w:r w:rsidR="00064D22">
          <w:rPr>
            <w:rFonts w:ascii="宋体" w:hAnsi="宋体" w:hint="eastAsia"/>
            <w:noProof/>
            <w:sz w:val="24"/>
          </w:rPr>
          <w:fldChar w:fldCharType="end"/>
        </w:r>
      </w:hyperlink>
    </w:p>
    <w:p w14:paraId="07793ECB" w14:textId="5EE0E698" w:rsidR="00353BD1" w:rsidRDefault="002A3F27">
      <w:pPr>
        <w:pStyle w:val="23"/>
        <w:tabs>
          <w:tab w:val="right" w:leader="dot" w:pos="8494"/>
        </w:tabs>
        <w:spacing w:line="360" w:lineRule="auto"/>
        <w:rPr>
          <w:rFonts w:ascii="宋体" w:hAnsi="宋体"/>
          <w:noProof/>
          <w:sz w:val="24"/>
        </w:rPr>
      </w:pPr>
      <w:hyperlink w:anchor="_Toc124325899" w:history="1">
        <w:r w:rsidR="00064D22">
          <w:rPr>
            <w:rStyle w:val="af1"/>
            <w:rFonts w:ascii="宋体" w:hAnsi="宋体" w:hint="eastAsia"/>
            <w:noProof/>
            <w:sz w:val="24"/>
          </w:rPr>
          <w:t>十五、禁止</w:t>
        </w:r>
        <w:bookmarkStart w:id="8" w:name="_Hlt133480885"/>
        <w:bookmarkStart w:id="9" w:name="_Hlt133480886"/>
        <w:r w:rsidR="00064D22">
          <w:rPr>
            <w:rStyle w:val="af1"/>
            <w:rFonts w:ascii="宋体" w:hAnsi="宋体" w:hint="eastAsia"/>
            <w:noProof/>
            <w:sz w:val="24"/>
          </w:rPr>
          <w:t>行</w:t>
        </w:r>
        <w:bookmarkEnd w:id="8"/>
        <w:bookmarkEnd w:id="9"/>
        <w:r w:rsidR="00064D22">
          <w:rPr>
            <w:rStyle w:val="af1"/>
            <w:rFonts w:ascii="宋体" w:hAnsi="宋体" w:hint="eastAsia"/>
            <w:noProof/>
            <w:sz w:val="24"/>
          </w:rPr>
          <w:t>为</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_Toc124325899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38</w:t>
        </w:r>
        <w:r w:rsidR="00064D22">
          <w:rPr>
            <w:rFonts w:ascii="宋体" w:hAnsi="宋体" w:hint="eastAsia"/>
            <w:noProof/>
            <w:sz w:val="24"/>
          </w:rPr>
          <w:fldChar w:fldCharType="end"/>
        </w:r>
      </w:hyperlink>
    </w:p>
    <w:p w14:paraId="516AB901" w14:textId="7216DD3E" w:rsidR="00353BD1" w:rsidRDefault="002A3F27">
      <w:pPr>
        <w:pStyle w:val="23"/>
        <w:tabs>
          <w:tab w:val="right" w:leader="dot" w:pos="8494"/>
        </w:tabs>
        <w:spacing w:line="360" w:lineRule="auto"/>
        <w:rPr>
          <w:rFonts w:ascii="宋体" w:hAnsi="宋体"/>
          <w:noProof/>
          <w:sz w:val="24"/>
        </w:rPr>
      </w:pPr>
      <w:hyperlink w:anchor="_Toc124325900" w:history="1">
        <w:r w:rsidR="00064D22">
          <w:rPr>
            <w:rStyle w:val="af1"/>
            <w:rFonts w:ascii="宋体" w:hAnsi="宋体" w:hint="eastAsia"/>
            <w:noProof/>
            <w:sz w:val="24"/>
          </w:rPr>
          <w:t>十六、托管协议的变更、终止与基金财产的清算</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_Toc124325900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39</w:t>
        </w:r>
        <w:r w:rsidR="00064D22">
          <w:rPr>
            <w:rFonts w:ascii="宋体" w:hAnsi="宋体" w:hint="eastAsia"/>
            <w:noProof/>
            <w:sz w:val="24"/>
          </w:rPr>
          <w:fldChar w:fldCharType="end"/>
        </w:r>
      </w:hyperlink>
    </w:p>
    <w:p w14:paraId="06482B3E" w14:textId="4977ABA6" w:rsidR="00353BD1" w:rsidRDefault="002A3F27">
      <w:pPr>
        <w:pStyle w:val="23"/>
        <w:tabs>
          <w:tab w:val="right" w:leader="dot" w:pos="8494"/>
        </w:tabs>
        <w:spacing w:line="360" w:lineRule="auto"/>
        <w:rPr>
          <w:rFonts w:ascii="宋体" w:hAnsi="宋体"/>
          <w:noProof/>
          <w:sz w:val="24"/>
        </w:rPr>
      </w:pPr>
      <w:hyperlink w:anchor="_Toc124325901" w:history="1">
        <w:r w:rsidR="00064D22">
          <w:rPr>
            <w:rStyle w:val="af1"/>
            <w:rFonts w:ascii="宋体" w:hAnsi="宋体" w:hint="eastAsia"/>
            <w:noProof/>
            <w:sz w:val="24"/>
          </w:rPr>
          <w:t>十七、违约责任</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_Toc124325901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41</w:t>
        </w:r>
        <w:r w:rsidR="00064D22">
          <w:rPr>
            <w:rFonts w:ascii="宋体" w:hAnsi="宋体" w:hint="eastAsia"/>
            <w:noProof/>
            <w:sz w:val="24"/>
          </w:rPr>
          <w:fldChar w:fldCharType="end"/>
        </w:r>
      </w:hyperlink>
    </w:p>
    <w:p w14:paraId="19AF8EC4" w14:textId="0F00CCDC" w:rsidR="00353BD1" w:rsidRDefault="002A3F27">
      <w:pPr>
        <w:pStyle w:val="23"/>
        <w:tabs>
          <w:tab w:val="right" w:leader="dot" w:pos="8494"/>
        </w:tabs>
        <w:spacing w:line="360" w:lineRule="auto"/>
        <w:rPr>
          <w:rFonts w:ascii="宋体" w:hAnsi="宋体"/>
          <w:noProof/>
          <w:sz w:val="24"/>
        </w:rPr>
      </w:pPr>
      <w:hyperlink w:anchor="_Toc124325902" w:history="1">
        <w:r w:rsidR="00064D22">
          <w:rPr>
            <w:rStyle w:val="af1"/>
            <w:rFonts w:ascii="宋体" w:hAnsi="宋体" w:hint="eastAsia"/>
            <w:noProof/>
            <w:sz w:val="24"/>
          </w:rPr>
          <w:t>十八、争议解决方式</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_Toc124325902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42</w:t>
        </w:r>
        <w:r w:rsidR="00064D22">
          <w:rPr>
            <w:rFonts w:ascii="宋体" w:hAnsi="宋体" w:hint="eastAsia"/>
            <w:noProof/>
            <w:sz w:val="24"/>
          </w:rPr>
          <w:fldChar w:fldCharType="end"/>
        </w:r>
      </w:hyperlink>
    </w:p>
    <w:p w14:paraId="7F04B33D" w14:textId="6004C3AE" w:rsidR="00353BD1" w:rsidRDefault="002A3F27">
      <w:pPr>
        <w:pStyle w:val="23"/>
        <w:tabs>
          <w:tab w:val="right" w:leader="dot" w:pos="8494"/>
        </w:tabs>
        <w:spacing w:line="360" w:lineRule="auto"/>
        <w:rPr>
          <w:rFonts w:ascii="宋体" w:hAnsi="宋体"/>
          <w:noProof/>
          <w:sz w:val="24"/>
        </w:rPr>
      </w:pPr>
      <w:hyperlink w:anchor="_Toc124325903" w:history="1">
        <w:r w:rsidR="00064D22">
          <w:rPr>
            <w:rStyle w:val="af1"/>
            <w:rFonts w:ascii="宋体" w:hAnsi="宋体" w:hint="eastAsia"/>
            <w:noProof/>
            <w:sz w:val="24"/>
          </w:rPr>
          <w:t>十九、托管协议的效力</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_Toc124325903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42</w:t>
        </w:r>
        <w:r w:rsidR="00064D22">
          <w:rPr>
            <w:rFonts w:ascii="宋体" w:hAnsi="宋体" w:hint="eastAsia"/>
            <w:noProof/>
            <w:sz w:val="24"/>
          </w:rPr>
          <w:fldChar w:fldCharType="end"/>
        </w:r>
      </w:hyperlink>
    </w:p>
    <w:p w14:paraId="725D3AA5" w14:textId="2CBFC753" w:rsidR="00353BD1" w:rsidRDefault="002A3F27">
      <w:pPr>
        <w:pStyle w:val="23"/>
        <w:tabs>
          <w:tab w:val="right" w:leader="dot" w:pos="8494"/>
        </w:tabs>
        <w:spacing w:line="360" w:lineRule="auto"/>
        <w:rPr>
          <w:rFonts w:ascii="宋体" w:hAnsi="宋体"/>
          <w:noProof/>
          <w:sz w:val="24"/>
        </w:rPr>
      </w:pPr>
      <w:hyperlink w:anchor="_Toc124325904" w:history="1">
        <w:r w:rsidR="00064D22">
          <w:rPr>
            <w:rStyle w:val="af1"/>
            <w:rFonts w:ascii="宋体" w:hAnsi="宋体" w:hint="eastAsia"/>
            <w:noProof/>
            <w:sz w:val="24"/>
          </w:rPr>
          <w:t>二十、其他事项</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_Toc124325904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43</w:t>
        </w:r>
        <w:r w:rsidR="00064D22">
          <w:rPr>
            <w:rFonts w:ascii="宋体" w:hAnsi="宋体" w:hint="eastAsia"/>
            <w:noProof/>
            <w:sz w:val="24"/>
          </w:rPr>
          <w:fldChar w:fldCharType="end"/>
        </w:r>
      </w:hyperlink>
    </w:p>
    <w:p w14:paraId="7D9FC625" w14:textId="544E85DB" w:rsidR="00353BD1" w:rsidRDefault="002A3F27">
      <w:pPr>
        <w:pStyle w:val="23"/>
        <w:tabs>
          <w:tab w:val="right" w:leader="dot" w:pos="8494"/>
        </w:tabs>
        <w:spacing w:line="360" w:lineRule="auto"/>
        <w:rPr>
          <w:rFonts w:ascii="宋体" w:hAnsi="宋体"/>
          <w:noProof/>
          <w:sz w:val="24"/>
        </w:rPr>
      </w:pPr>
      <w:hyperlink w:anchor="_Toc124325905" w:history="1">
        <w:r w:rsidR="00064D22">
          <w:rPr>
            <w:rStyle w:val="af1"/>
            <w:rFonts w:ascii="宋体" w:hAnsi="宋体" w:hint="eastAsia"/>
            <w:noProof/>
            <w:sz w:val="24"/>
          </w:rPr>
          <w:t>二十一、托管协议的签订</w:t>
        </w:r>
        <w:r w:rsidR="00064D22">
          <w:rPr>
            <w:rFonts w:ascii="宋体" w:hAnsi="宋体" w:hint="eastAsia"/>
            <w:noProof/>
            <w:sz w:val="24"/>
          </w:rPr>
          <w:tab/>
        </w:r>
        <w:r w:rsidR="00064D22">
          <w:rPr>
            <w:rFonts w:ascii="宋体" w:hAnsi="宋体" w:hint="eastAsia"/>
            <w:noProof/>
            <w:sz w:val="24"/>
          </w:rPr>
          <w:fldChar w:fldCharType="begin"/>
        </w:r>
        <w:r w:rsidR="00064D22">
          <w:rPr>
            <w:rFonts w:ascii="宋体" w:hAnsi="宋体" w:hint="eastAsia"/>
            <w:noProof/>
            <w:sz w:val="24"/>
          </w:rPr>
          <w:instrText xml:space="preserve"> PAGEREF _Toc124325905 \h </w:instrText>
        </w:r>
        <w:r w:rsidR="00064D22">
          <w:rPr>
            <w:rFonts w:ascii="宋体" w:hAnsi="宋体" w:hint="eastAsia"/>
            <w:noProof/>
            <w:sz w:val="24"/>
          </w:rPr>
        </w:r>
        <w:r w:rsidR="00064D22">
          <w:rPr>
            <w:rFonts w:ascii="宋体" w:hAnsi="宋体" w:hint="eastAsia"/>
            <w:noProof/>
            <w:sz w:val="24"/>
          </w:rPr>
          <w:fldChar w:fldCharType="separate"/>
        </w:r>
        <w:r w:rsidR="00516A97">
          <w:rPr>
            <w:rFonts w:ascii="宋体" w:hAnsi="宋体"/>
            <w:noProof/>
            <w:sz w:val="24"/>
          </w:rPr>
          <w:t>43</w:t>
        </w:r>
        <w:r w:rsidR="00064D22">
          <w:rPr>
            <w:rFonts w:ascii="宋体" w:hAnsi="宋体" w:hint="eastAsia"/>
            <w:noProof/>
            <w:sz w:val="24"/>
          </w:rPr>
          <w:fldChar w:fldCharType="end"/>
        </w:r>
      </w:hyperlink>
    </w:p>
    <w:p w14:paraId="75818388" w14:textId="77777777" w:rsidR="00353BD1" w:rsidRDefault="00064D22">
      <w:pPr>
        <w:spacing w:line="360" w:lineRule="auto"/>
        <w:rPr>
          <w:rFonts w:ascii="宋体" w:hAnsi="宋体"/>
          <w:sz w:val="28"/>
        </w:rPr>
      </w:pPr>
      <w:r>
        <w:rPr>
          <w:rFonts w:ascii="宋体" w:hAnsi="宋体" w:hint="eastAsia"/>
          <w:sz w:val="28"/>
        </w:rPr>
        <w:fldChar w:fldCharType="end"/>
      </w:r>
    </w:p>
    <w:p w14:paraId="049FEF9F" w14:textId="77777777" w:rsidR="00353BD1" w:rsidRDefault="00064D22">
      <w:pPr>
        <w:widowControl/>
        <w:jc w:val="left"/>
        <w:rPr>
          <w:rFonts w:ascii="宋体" w:hAnsi="宋体"/>
          <w:sz w:val="28"/>
        </w:rPr>
      </w:pPr>
      <w:r>
        <w:rPr>
          <w:rFonts w:ascii="宋体" w:hAnsi="宋体"/>
          <w:sz w:val="28"/>
        </w:rPr>
        <w:br w:type="page"/>
      </w:r>
    </w:p>
    <w:p w14:paraId="06B859F1" w14:textId="77777777" w:rsidR="00353BD1" w:rsidRDefault="00353BD1">
      <w:pPr>
        <w:spacing w:line="360" w:lineRule="auto"/>
        <w:rPr>
          <w:rFonts w:ascii="宋体" w:hAnsi="宋体"/>
          <w:sz w:val="24"/>
        </w:rPr>
      </w:pPr>
    </w:p>
    <w:p w14:paraId="695F2859" w14:textId="29DC7B24"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鉴于广发基金管理有限公司系一家依照中国法律合法成立并有效存续的有限责任公司，按照相关法律法规的规定具备担任基金管理人的资格和能力，拟募集发行</w:t>
      </w:r>
      <w:r w:rsidR="00B24F00">
        <w:rPr>
          <w:rFonts w:ascii="宋体" w:hAnsi="宋体" w:cs="Arial" w:hint="eastAsia"/>
          <w:kern w:val="0"/>
          <w:sz w:val="24"/>
        </w:rPr>
        <w:t>广发悦丰多元稳健三个月持有期混合型基金中基金（FOF）</w:t>
      </w:r>
      <w:r>
        <w:rPr>
          <w:rFonts w:ascii="宋体" w:hAnsi="宋体" w:cs="Arial" w:hint="eastAsia"/>
          <w:kern w:val="0"/>
          <w:sz w:val="24"/>
        </w:rPr>
        <w:t>；</w:t>
      </w:r>
    </w:p>
    <w:p w14:paraId="029BC836" w14:textId="77777777"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鉴于中国建设银行股份有限公司系一家依照中国法律合法成立并有效存续的银行，按照相关法律法规的规定具备担任基金托管人的资格和能力；</w:t>
      </w:r>
    </w:p>
    <w:p w14:paraId="2D5C65FB" w14:textId="1012A07F"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鉴于广发基金管理有限公司拟担任</w:t>
      </w:r>
      <w:r w:rsidR="00B24F00">
        <w:rPr>
          <w:rFonts w:ascii="宋体" w:hAnsi="宋体" w:cs="Arial" w:hint="eastAsia"/>
          <w:kern w:val="0"/>
          <w:sz w:val="24"/>
        </w:rPr>
        <w:t>广发悦丰多元稳健三个月持有期混合型基金中基金（FOF）</w:t>
      </w:r>
      <w:r>
        <w:rPr>
          <w:rFonts w:ascii="宋体" w:hAnsi="宋体" w:cs="Arial" w:hint="eastAsia"/>
          <w:kern w:val="0"/>
          <w:sz w:val="24"/>
        </w:rPr>
        <w:t>的基金管理人，中国建设银行股份有限公司拟担任</w:t>
      </w:r>
      <w:r w:rsidR="00B24F00">
        <w:rPr>
          <w:rFonts w:ascii="宋体" w:hAnsi="宋体" w:cs="Arial" w:hint="eastAsia"/>
          <w:kern w:val="0"/>
          <w:sz w:val="24"/>
        </w:rPr>
        <w:t>广发悦丰多元稳健三个月持有期混合型基金中基金（FOF）</w:t>
      </w:r>
      <w:r>
        <w:rPr>
          <w:rFonts w:ascii="宋体" w:hAnsi="宋体" w:cs="Arial" w:hint="eastAsia"/>
          <w:kern w:val="0"/>
          <w:sz w:val="24"/>
        </w:rPr>
        <w:t>的基金托管人；</w:t>
      </w:r>
    </w:p>
    <w:p w14:paraId="4CC12806" w14:textId="35A3D013" w:rsidR="00353BD1" w:rsidRDefault="00064D22">
      <w:pPr>
        <w:widowControl/>
        <w:adjustRightInd w:val="0"/>
        <w:snapToGrid w:val="0"/>
        <w:spacing w:line="360" w:lineRule="auto"/>
        <w:ind w:firstLineChars="200" w:firstLine="480"/>
        <w:rPr>
          <w:rFonts w:ascii="宋体" w:hAnsi="宋体" w:cs="Arial"/>
          <w:kern w:val="0"/>
          <w:sz w:val="24"/>
        </w:rPr>
      </w:pPr>
      <w:r>
        <w:rPr>
          <w:rFonts w:ascii="宋体" w:hAnsi="宋体" w:cs="Arial" w:hint="eastAsia"/>
          <w:kern w:val="0"/>
          <w:sz w:val="24"/>
        </w:rPr>
        <w:t>为明确</w:t>
      </w:r>
      <w:r w:rsidR="00B24F00">
        <w:rPr>
          <w:rFonts w:ascii="宋体" w:hAnsi="宋体" w:cs="Arial" w:hint="eastAsia"/>
          <w:kern w:val="0"/>
          <w:sz w:val="24"/>
        </w:rPr>
        <w:t>广发悦丰多元稳健三个月持有期混合型基金中基金（FOF）</w:t>
      </w:r>
      <w:r>
        <w:rPr>
          <w:rFonts w:ascii="宋体" w:hAnsi="宋体" w:cs="Arial" w:hint="eastAsia"/>
          <w:kern w:val="0"/>
          <w:sz w:val="24"/>
        </w:rPr>
        <w:t>的基金管理人和基金托管人之间的权利义务关系，特制订本托管协议；</w:t>
      </w:r>
    </w:p>
    <w:p w14:paraId="292956DB" w14:textId="68723B9F" w:rsidR="00353BD1" w:rsidRDefault="00064D22">
      <w:pPr>
        <w:widowControl/>
        <w:adjustRightInd w:val="0"/>
        <w:snapToGrid w:val="0"/>
        <w:spacing w:line="360" w:lineRule="auto"/>
        <w:ind w:firstLineChars="200" w:firstLine="480"/>
        <w:rPr>
          <w:rFonts w:ascii="宋体" w:hAnsi="宋体" w:cs="Arial"/>
          <w:kern w:val="0"/>
          <w:sz w:val="24"/>
          <w:lang w:val="en-GB"/>
        </w:rPr>
      </w:pPr>
      <w:r>
        <w:rPr>
          <w:rFonts w:ascii="宋体" w:hAnsi="宋体" w:cs="Arial" w:hint="eastAsia"/>
          <w:kern w:val="0"/>
          <w:sz w:val="24"/>
          <w:lang w:val="en-GB"/>
        </w:rPr>
        <w:t>除非另有约定，《</w:t>
      </w:r>
      <w:r w:rsidR="00B24F00">
        <w:rPr>
          <w:rFonts w:ascii="宋体" w:hAnsi="宋体" w:cs="Arial" w:hint="eastAsia"/>
          <w:kern w:val="0"/>
          <w:sz w:val="24"/>
          <w:lang w:val="en-GB"/>
        </w:rPr>
        <w:t>广发悦丰多元稳健三个月持有期混合型基金中基金（FOF）</w:t>
      </w:r>
      <w:r>
        <w:rPr>
          <w:rFonts w:ascii="宋体" w:hAnsi="宋体" w:cs="Arial" w:hint="eastAsia"/>
          <w:kern w:val="0"/>
          <w:sz w:val="24"/>
          <w:lang w:val="en-GB"/>
        </w:rPr>
        <w:t>基金合同》(以下简称“基金合同”)中定义的术语在用于本托管协议时应具有相同的含义；若有抵触应以《基金合同》为准，并依其</w:t>
      </w:r>
      <w:r>
        <w:rPr>
          <w:rFonts w:ascii="宋体" w:hAnsi="宋体" w:cs="Arial" w:hint="eastAsia"/>
          <w:kern w:val="0"/>
          <w:sz w:val="24"/>
        </w:rPr>
        <w:t>条款</w:t>
      </w:r>
      <w:r>
        <w:rPr>
          <w:rFonts w:ascii="宋体" w:hAnsi="宋体" w:cs="Arial" w:hint="eastAsia"/>
          <w:kern w:val="0"/>
          <w:sz w:val="24"/>
          <w:lang w:val="en-GB"/>
        </w:rPr>
        <w:t>解释。</w:t>
      </w:r>
    </w:p>
    <w:p w14:paraId="31F5DFE2" w14:textId="77777777" w:rsidR="00353BD1" w:rsidRDefault="00353BD1">
      <w:pPr>
        <w:spacing w:line="360" w:lineRule="auto"/>
        <w:rPr>
          <w:rFonts w:ascii="宋体" w:hAnsi="宋体"/>
          <w:sz w:val="24"/>
          <w:lang w:val="en-GB"/>
        </w:rPr>
      </w:pPr>
    </w:p>
    <w:p w14:paraId="409AB027" w14:textId="77777777" w:rsidR="00353BD1" w:rsidRDefault="00064D22">
      <w:pPr>
        <w:pStyle w:val="2"/>
        <w:spacing w:line="360" w:lineRule="auto"/>
        <w:jc w:val="center"/>
        <w:rPr>
          <w:rFonts w:ascii="宋体" w:eastAsia="宋体" w:hAnsi="宋体"/>
        </w:rPr>
      </w:pPr>
      <w:bookmarkStart w:id="10" w:name="_Toc124325885"/>
      <w:r>
        <w:rPr>
          <w:rFonts w:ascii="宋体" w:eastAsia="宋体" w:hAnsi="宋体" w:hint="eastAsia"/>
        </w:rPr>
        <w:t>一、基金托管协议当事人</w:t>
      </w:r>
      <w:bookmarkEnd w:id="10"/>
    </w:p>
    <w:p w14:paraId="096493D9"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w:t>
      </w:r>
    </w:p>
    <w:p w14:paraId="7288B0D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名称：广发基金管理有限公司</w:t>
      </w:r>
    </w:p>
    <w:p w14:paraId="00F50D1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注册地址：广东省珠海市横琴新区环岛东路3018号2608室</w:t>
      </w:r>
    </w:p>
    <w:p w14:paraId="5404BF5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办公地址：广东省广州市海珠区琶洲大道东1号保利国际广场南塔31－33楼；广东省珠海市横琴新区环岛东路3018号2603-2622室</w:t>
      </w:r>
    </w:p>
    <w:p w14:paraId="552C5F9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w:t>
      </w:r>
      <w:r>
        <w:rPr>
          <w:rFonts w:ascii="宋体" w:hAnsi="宋体" w:cs="Arial"/>
          <w:sz w:val="24"/>
        </w:rPr>
        <w:t>510308</w:t>
      </w:r>
    </w:p>
    <w:p w14:paraId="225C0F0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法定代表人：葛长伟</w:t>
      </w:r>
    </w:p>
    <w:p w14:paraId="40B8697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w:t>
      </w:r>
      <w:r>
        <w:rPr>
          <w:rStyle w:val="read"/>
          <w:rFonts w:ascii="宋体" w:hAnsi="宋体" w:cs="Arial" w:hint="eastAsia"/>
          <w:sz w:val="24"/>
        </w:rPr>
        <w:t>2003年8月5日</w:t>
      </w:r>
    </w:p>
    <w:p w14:paraId="7DB2B4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批准设立机关及批准设立文号：中国证监会证监基字</w:t>
      </w:r>
      <w:r>
        <w:rPr>
          <w:rStyle w:val="read"/>
          <w:rFonts w:ascii="宋体" w:hAnsi="宋体" w:cs="Arial" w:hint="eastAsia"/>
          <w:sz w:val="24"/>
        </w:rPr>
        <w:t>[</w:t>
      </w:r>
      <w:r>
        <w:rPr>
          <w:rStyle w:val="read"/>
          <w:rFonts w:ascii="宋体" w:hAnsi="宋体" w:cs="Arial"/>
          <w:sz w:val="24"/>
        </w:rPr>
        <w:t>2003</w:t>
      </w:r>
      <w:r>
        <w:rPr>
          <w:rStyle w:val="read"/>
          <w:rFonts w:ascii="宋体" w:hAnsi="宋体" w:cs="Arial" w:hint="eastAsia"/>
          <w:sz w:val="24"/>
        </w:rPr>
        <w:t>]</w:t>
      </w:r>
      <w:r>
        <w:rPr>
          <w:rStyle w:val="read"/>
          <w:rFonts w:ascii="宋体" w:hAnsi="宋体" w:cs="Arial"/>
          <w:sz w:val="24"/>
        </w:rPr>
        <w:t>91</w:t>
      </w:r>
      <w:r>
        <w:rPr>
          <w:rFonts w:ascii="宋体" w:hAnsi="宋体" w:cs="Arial" w:hint="eastAsia"/>
          <w:sz w:val="24"/>
        </w:rPr>
        <w:t>号</w:t>
      </w:r>
    </w:p>
    <w:p w14:paraId="4BBE9EE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组织形式：有限责任公司</w:t>
      </w:r>
    </w:p>
    <w:p w14:paraId="6AE3615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注册资本：14,097.8万元人民币</w:t>
      </w:r>
    </w:p>
    <w:p w14:paraId="3019CA0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68693C5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经营范围：基金募集、基金销售、资产管理和中国证监会许可的其他业务</w:t>
      </w:r>
    </w:p>
    <w:p w14:paraId="283D0431"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（二）基金托管人</w:t>
      </w:r>
    </w:p>
    <w:p w14:paraId="47D687D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名称：中国建设银行股份有限公司(简称：中国建设银行)</w:t>
      </w:r>
    </w:p>
    <w:p w14:paraId="0C2549B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住所：北京市西城区金融大街25号</w:t>
      </w:r>
    </w:p>
    <w:p w14:paraId="0D8A0E2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办公地址：北京市西城区闹市口大街1号院1号楼</w:t>
      </w:r>
    </w:p>
    <w:p w14:paraId="044DE71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邮政编码：100033</w:t>
      </w:r>
    </w:p>
    <w:p w14:paraId="3BA7B0B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法定代表人：张金良</w:t>
      </w:r>
    </w:p>
    <w:p w14:paraId="2B33B91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成立日期：2004年09月17日</w:t>
      </w:r>
    </w:p>
    <w:p w14:paraId="7A4FB7C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基金托管业务批准文号：中国证监会证监基字[1998</w:t>
      </w:r>
      <w:bookmarkStart w:id="11" w:name="OLE_LINK3"/>
      <w:r>
        <w:rPr>
          <w:rFonts w:ascii="宋体" w:hAnsi="宋体" w:cs="Arial" w:hint="eastAsia"/>
          <w:sz w:val="24"/>
        </w:rPr>
        <w:t>]</w:t>
      </w:r>
      <w:bookmarkEnd w:id="11"/>
      <w:r>
        <w:rPr>
          <w:rFonts w:ascii="宋体" w:hAnsi="宋体" w:cs="Arial" w:hint="eastAsia"/>
          <w:sz w:val="24"/>
        </w:rPr>
        <w:t>12号</w:t>
      </w:r>
    </w:p>
    <w:p w14:paraId="5F4A887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组织形式：股份有限公司</w:t>
      </w:r>
    </w:p>
    <w:p w14:paraId="49620D2E" w14:textId="63720011"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w:t>
      </w:r>
      <w:r w:rsidR="005761B3" w:rsidRPr="005761B3">
        <w:rPr>
          <w:rFonts w:ascii="宋体" w:hAnsi="宋体" w:hint="eastAsia"/>
          <w:sz w:val="24"/>
        </w:rPr>
        <w:t>贰仟陆佰壹拾陆亿叁拾捌万壹仟肆佰伍拾玖元整</w:t>
      </w:r>
    </w:p>
    <w:p w14:paraId="51A0704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13005A71" w14:textId="77777777" w:rsidR="00353BD1" w:rsidRDefault="00064D22">
      <w:pPr>
        <w:tabs>
          <w:tab w:val="left" w:pos="540"/>
        </w:tabs>
        <w:adjustRightInd w:val="0"/>
        <w:snapToGrid w:val="0"/>
        <w:spacing w:line="360" w:lineRule="auto"/>
        <w:ind w:firstLineChars="200" w:firstLine="480"/>
        <w:rPr>
          <w:rFonts w:ascii="宋体" w:hAnsi="宋体" w:cs="Arial"/>
          <w:sz w:val="24"/>
        </w:rPr>
      </w:pPr>
      <w:r>
        <w:rPr>
          <w:rFonts w:ascii="宋体"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0F9A6431" w14:textId="77777777" w:rsidR="00353BD1" w:rsidRDefault="00353BD1">
      <w:pPr>
        <w:spacing w:line="360" w:lineRule="auto"/>
        <w:rPr>
          <w:rFonts w:ascii="宋体" w:hAnsi="宋体"/>
          <w:sz w:val="24"/>
        </w:rPr>
      </w:pPr>
    </w:p>
    <w:p w14:paraId="310255B0" w14:textId="77777777" w:rsidR="00353BD1" w:rsidRDefault="00064D22">
      <w:pPr>
        <w:pStyle w:val="2"/>
        <w:spacing w:line="360" w:lineRule="auto"/>
        <w:jc w:val="center"/>
        <w:rPr>
          <w:rFonts w:ascii="宋体" w:eastAsia="宋体" w:hAnsi="宋体"/>
          <w:sz w:val="30"/>
        </w:rPr>
      </w:pPr>
      <w:bookmarkStart w:id="12" w:name="_Toc124325886"/>
      <w:r>
        <w:rPr>
          <w:rFonts w:ascii="宋体" w:eastAsia="宋体" w:hAnsi="宋体" w:hint="eastAsia"/>
          <w:sz w:val="30"/>
        </w:rPr>
        <w:t>二、基金托管协议的依据、目的和原则</w:t>
      </w:r>
      <w:bookmarkEnd w:id="12"/>
    </w:p>
    <w:p w14:paraId="419E0905" w14:textId="77777777" w:rsidR="00353BD1" w:rsidRDefault="00064D22">
      <w:pPr>
        <w:adjustRightInd w:val="0"/>
        <w:snapToGrid w:val="0"/>
        <w:spacing w:line="360" w:lineRule="auto"/>
        <w:ind w:firstLineChars="200" w:firstLine="480"/>
        <w:rPr>
          <w:rFonts w:ascii="宋体" w:hAnsi="宋体"/>
          <w:sz w:val="24"/>
          <w:szCs w:val="30"/>
        </w:rPr>
      </w:pPr>
      <w:r>
        <w:rPr>
          <w:rFonts w:ascii="宋体" w:hAnsi="宋体" w:cs="Arial" w:hint="eastAsia"/>
          <w:sz w:val="24"/>
        </w:rPr>
        <w:t>（一）订立托管协议的依据</w:t>
      </w:r>
    </w:p>
    <w:p w14:paraId="66CCD49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本协议依据《中华人民共和国证券投资基金法》(以下简称“《基金法》”)等有关法律法规、《基金合同》及其他有关规定制订。</w:t>
      </w:r>
    </w:p>
    <w:p w14:paraId="5B05760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（二）订立托管协议的目的</w:t>
      </w:r>
    </w:p>
    <w:p w14:paraId="7B8DF96E" w14:textId="77777777" w:rsidR="00353BD1" w:rsidRDefault="00064D22">
      <w:pPr>
        <w:adjustRightInd w:val="0"/>
        <w:snapToGrid w:val="0"/>
        <w:spacing w:line="360" w:lineRule="auto"/>
        <w:ind w:firstLineChars="200" w:firstLine="480"/>
        <w:rPr>
          <w:rFonts w:ascii="宋体" w:hAnsi="宋体"/>
          <w:sz w:val="24"/>
          <w:szCs w:val="30"/>
        </w:rPr>
      </w:pPr>
      <w:r>
        <w:rPr>
          <w:rFonts w:ascii="宋体"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0A6D9B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（三）订立托管协议的原则</w:t>
      </w:r>
    </w:p>
    <w:p w14:paraId="6BFAF28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基金管理人和基金托管人本着平等自愿、诚实信用、充分保护基金份额持有人</w:t>
      </w:r>
      <w:r>
        <w:rPr>
          <w:rFonts w:ascii="宋体" w:hAnsi="宋体" w:cs="Arial" w:hint="eastAsia"/>
          <w:sz w:val="24"/>
        </w:rPr>
        <w:lastRenderedPageBreak/>
        <w:t>合法权益的原则，经协商一致，签订本协议。</w:t>
      </w:r>
    </w:p>
    <w:p w14:paraId="153830D1" w14:textId="77777777" w:rsidR="00353BD1" w:rsidRDefault="00353BD1">
      <w:pPr>
        <w:spacing w:line="360" w:lineRule="auto"/>
        <w:rPr>
          <w:rFonts w:ascii="宋体" w:hAnsi="宋体"/>
          <w:sz w:val="24"/>
        </w:rPr>
      </w:pPr>
    </w:p>
    <w:p w14:paraId="27B585E3" w14:textId="77777777" w:rsidR="00353BD1" w:rsidRDefault="00064D22">
      <w:pPr>
        <w:pStyle w:val="2"/>
        <w:spacing w:line="360" w:lineRule="auto"/>
        <w:jc w:val="center"/>
        <w:rPr>
          <w:rFonts w:ascii="宋体" w:eastAsia="宋体" w:hAnsi="宋体"/>
          <w:sz w:val="30"/>
        </w:rPr>
      </w:pPr>
      <w:bookmarkStart w:id="13" w:name="_Toc124325887"/>
      <w:r>
        <w:rPr>
          <w:rFonts w:ascii="宋体" w:eastAsia="宋体" w:hAnsi="宋体" w:hint="eastAsia"/>
          <w:sz w:val="30"/>
        </w:rPr>
        <w:t>三、基金托管人对基金管理人的业务监督和核查</w:t>
      </w:r>
      <w:bookmarkEnd w:id="13"/>
    </w:p>
    <w:p w14:paraId="79DE25A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759BE7BC" w14:textId="77777777" w:rsidR="008C7FD0" w:rsidRPr="008C7FD0" w:rsidRDefault="008C7FD0" w:rsidP="008C7FD0">
      <w:pPr>
        <w:adjustRightInd w:val="0"/>
        <w:snapToGrid w:val="0"/>
        <w:spacing w:line="360" w:lineRule="auto"/>
        <w:ind w:firstLineChars="200" w:firstLine="480"/>
        <w:rPr>
          <w:rFonts w:ascii="宋体" w:hAnsi="宋体" w:cs="Arial"/>
          <w:sz w:val="24"/>
        </w:rPr>
      </w:pPr>
      <w:r w:rsidRPr="008C7FD0">
        <w:rPr>
          <w:rFonts w:ascii="宋体" w:hAnsi="宋体" w:cs="Arial" w:hint="eastAsia"/>
          <w:sz w:val="24"/>
        </w:rPr>
        <w:t>本基金的投资范围为具有良好流动性的金融工具，包括经中国证监会依法核准或注册的证券投资基金（包括公开募集基础设施证券投资基金（以下简称“公募REITs”）、QDII基金、香港互认基金及其他经中国证监会依法核准或注册的基金）、国内依法发行上市的股票（包括科创板、创业板及其他依法发行上市的股票、存托凭证）、港股通标的证券（包括股票和ETF）、债券（包括国债、地方政府债、政府支持机构债券、金融债、企业债、公司债、次级债、可转换债券、分离交易可转债、可交换债券、央行票据、中期票据、短期融资券（含超短期融资券）以及经法律法规或中国证监会允许投资的其他债券类金融工具）、资产支持证券、债券回购、银行存款、同业存单、货币市场工具以及法律法规或中国证监会允许基金投资的其他金融工具（但须符合中国证监会相关规定）。</w:t>
      </w:r>
    </w:p>
    <w:p w14:paraId="4DEAEB4B" w14:textId="6F875D39" w:rsidR="00353BD1" w:rsidRDefault="008C7FD0">
      <w:pPr>
        <w:adjustRightInd w:val="0"/>
        <w:snapToGrid w:val="0"/>
        <w:spacing w:line="360" w:lineRule="auto"/>
        <w:ind w:firstLineChars="200" w:firstLine="480"/>
        <w:rPr>
          <w:rFonts w:ascii="宋体" w:hAnsi="宋体" w:cs="Arial"/>
          <w:sz w:val="24"/>
        </w:rPr>
      </w:pPr>
      <w:r w:rsidRPr="008C7FD0">
        <w:rPr>
          <w:rFonts w:ascii="宋体" w:hAnsi="宋体" w:cs="Arial" w:hint="eastAsia"/>
          <w:sz w:val="24"/>
        </w:rPr>
        <w:t>如法律法规或监管机构以后允许基金投资其他品种，基金管理人在履行适当程序后，可以将其纳入投资范围</w:t>
      </w:r>
      <w:r w:rsidR="00064D22">
        <w:rPr>
          <w:rFonts w:ascii="宋体" w:hAnsi="宋体" w:cs="Arial" w:hint="eastAsia"/>
          <w:sz w:val="24"/>
        </w:rPr>
        <w:t>。</w:t>
      </w:r>
    </w:p>
    <w:p w14:paraId="7F4485D4" w14:textId="4C7FCB84" w:rsidR="008C7FD0" w:rsidRPr="008C7FD0" w:rsidRDefault="008C7FD0" w:rsidP="008C7FD0">
      <w:pPr>
        <w:adjustRightInd w:val="0"/>
        <w:snapToGrid w:val="0"/>
        <w:spacing w:line="360" w:lineRule="auto"/>
        <w:ind w:firstLineChars="200" w:firstLine="480"/>
        <w:rPr>
          <w:rFonts w:ascii="宋体" w:hAnsi="宋体" w:cs="Arial"/>
          <w:sz w:val="24"/>
        </w:rPr>
      </w:pPr>
      <w:r w:rsidRPr="008C7FD0">
        <w:rPr>
          <w:rFonts w:ascii="宋体" w:hAnsi="宋体" w:cs="Arial" w:hint="eastAsia"/>
          <w:sz w:val="24"/>
        </w:rPr>
        <w:t>本基金为混合型基金中基金（FOF），投资于经中国证监会依法核准或注册的证券投资基金的比例不低于基金资产的80%；投资于权益类资产的比例占基金资产的5%-30%（其中投资于港股通标的股票的比例占股票资产的0%-50%</w:t>
      </w:r>
      <w:r w:rsidR="003F693D" w:rsidRPr="003F693D">
        <w:rPr>
          <w:rFonts w:ascii="宋体" w:hAnsi="宋体" w:cs="Arial" w:hint="eastAsia"/>
          <w:sz w:val="24"/>
        </w:rPr>
        <w:t>、投资于境内权益类资产的比例不低于5%</w:t>
      </w:r>
      <w:r w:rsidRPr="008C7FD0">
        <w:rPr>
          <w:rFonts w:ascii="宋体" w:hAnsi="宋体" w:cs="Arial" w:hint="eastAsia"/>
          <w:sz w:val="24"/>
        </w:rPr>
        <w:t>）；投资于QDII基金和香港互认基金的比例占基金资产的0%-20%；持有现金或到期日在一年以内的政府债券的投资比例合计不低于基金资产净值的5%。本基金所指的现金类资产范围不包括结算备付金、存出保证金、应收申购款等资金类别，法律法规另有规定的从其规定。</w:t>
      </w:r>
    </w:p>
    <w:p w14:paraId="02CF0D01" w14:textId="77777777" w:rsidR="008C7FD0" w:rsidRPr="008C7FD0" w:rsidRDefault="008C7FD0" w:rsidP="008C7FD0">
      <w:pPr>
        <w:adjustRightInd w:val="0"/>
        <w:snapToGrid w:val="0"/>
        <w:spacing w:line="360" w:lineRule="auto"/>
        <w:ind w:firstLineChars="200" w:firstLine="480"/>
        <w:rPr>
          <w:rFonts w:ascii="宋体" w:hAnsi="宋体" w:cs="Arial"/>
          <w:sz w:val="24"/>
        </w:rPr>
      </w:pPr>
      <w:r w:rsidRPr="008C7FD0">
        <w:rPr>
          <w:rFonts w:ascii="宋体" w:hAnsi="宋体" w:cs="Arial" w:hint="eastAsia"/>
          <w:sz w:val="24"/>
        </w:rPr>
        <w:lastRenderedPageBreak/>
        <w:t>本基金投资的权益类资产包括股票、股票型基金以及至少符合以下情形之一的混合型基金：（1）基金合同中明确规定股票资产占基金资产比例不低于60%的混合型基金；（2）根据基金披露的定期报告，最近四个季度末股票资产占基金资产比例均不低于60%的混合型基金。</w:t>
      </w:r>
    </w:p>
    <w:p w14:paraId="7BBB32AA" w14:textId="2BDEB071" w:rsidR="00353BD1" w:rsidRDefault="008C7FD0">
      <w:pPr>
        <w:adjustRightInd w:val="0"/>
        <w:snapToGrid w:val="0"/>
        <w:spacing w:line="360" w:lineRule="auto"/>
        <w:ind w:firstLineChars="200" w:firstLine="480"/>
        <w:rPr>
          <w:rFonts w:ascii="宋体" w:hAnsi="宋体" w:cs="Arial"/>
          <w:sz w:val="24"/>
        </w:rPr>
      </w:pPr>
      <w:r w:rsidRPr="008C7FD0">
        <w:rPr>
          <w:rFonts w:ascii="宋体" w:hAnsi="宋体" w:cs="Arial" w:hint="eastAsia"/>
          <w:sz w:val="24"/>
        </w:rPr>
        <w:t>如法律法规或监管机构以后对投资比例要求有变更的，基金管理人在履行适当程序后，可以做出相应调整</w:t>
      </w:r>
      <w:r w:rsidR="00064D22">
        <w:rPr>
          <w:rFonts w:ascii="宋体" w:hAnsi="宋体" w:cs="Arial" w:hint="eastAsia"/>
          <w:sz w:val="24"/>
        </w:rPr>
        <w:t>。</w:t>
      </w:r>
    </w:p>
    <w:p w14:paraId="5793A17D"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（二）基金托管人根据有关法律法规的规定及《基金合同》的约定，对基金投资、融资比例进行监督。基金托管人按下述比例和调整期限进行监督：</w:t>
      </w:r>
    </w:p>
    <w:p w14:paraId="30EF2484" w14:textId="094790B5"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w:t>
      </w:r>
      <w:r>
        <w:rPr>
          <w:rFonts w:ascii="宋体" w:hAnsi="宋体" w:cs="Arial" w:hint="eastAsia"/>
          <w:sz w:val="24"/>
        </w:rPr>
        <w:t>、</w:t>
      </w:r>
      <w:r w:rsidRPr="00C85000">
        <w:rPr>
          <w:rFonts w:ascii="宋体" w:hAnsi="宋体" w:cs="Arial" w:hint="eastAsia"/>
          <w:sz w:val="24"/>
        </w:rPr>
        <w:t>本基金为混合型基金中基金（FOF），投资于经中国证监会依法核准或注册的证券投资基金的比例不低于基金资产的80%；投资于权益类资产的比例占基金资产的5%-30%（其中投资于港股通标的股票的比例占股票资产的0%-50%</w:t>
      </w:r>
      <w:r w:rsidR="00D80A55" w:rsidRPr="00D80A55">
        <w:rPr>
          <w:rFonts w:ascii="宋体" w:hAnsi="宋体" w:cs="Arial" w:hint="eastAsia"/>
          <w:sz w:val="24"/>
        </w:rPr>
        <w:t>、投资于境内权益类资产的比例不低于5%</w:t>
      </w:r>
      <w:r w:rsidRPr="00C85000">
        <w:rPr>
          <w:rFonts w:ascii="宋体" w:hAnsi="宋体" w:cs="Arial" w:hint="eastAsia"/>
          <w:sz w:val="24"/>
        </w:rPr>
        <w:t>）；货币市场基金投资占基金资产的比例不得超过15%；QDII基金及香港互认基金投资占基金资产的比例不得超过20%；</w:t>
      </w:r>
    </w:p>
    <w:p w14:paraId="6158B2F1" w14:textId="1C90AE4B"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2</w:t>
      </w:r>
      <w:r>
        <w:rPr>
          <w:rFonts w:ascii="宋体" w:hAnsi="宋体" w:cs="Arial" w:hint="eastAsia"/>
          <w:sz w:val="24"/>
        </w:rPr>
        <w:t>、</w:t>
      </w:r>
      <w:r w:rsidRPr="00C85000">
        <w:rPr>
          <w:rFonts w:ascii="宋体" w:hAnsi="宋体" w:cs="Arial" w:hint="eastAsia"/>
          <w:sz w:val="24"/>
        </w:rPr>
        <w:t>现金或者到期日在一年以内的政府债券不低于基金资产净值的5%，其中，现金不包括结算备付金、存出保证金、应收申购款等；</w:t>
      </w:r>
    </w:p>
    <w:p w14:paraId="22D5C356" w14:textId="52106AD8"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3</w:t>
      </w:r>
      <w:r>
        <w:rPr>
          <w:rFonts w:ascii="宋体" w:hAnsi="宋体" w:cs="Arial" w:hint="eastAsia"/>
          <w:sz w:val="24"/>
        </w:rPr>
        <w:t>、</w:t>
      </w:r>
      <w:r w:rsidRPr="00C85000">
        <w:rPr>
          <w:rFonts w:ascii="宋体" w:hAnsi="宋体" w:cs="Arial" w:hint="eastAsia"/>
          <w:sz w:val="24"/>
        </w:rPr>
        <w:t>本基金持有一家公司发行的证券（同一家公司在境内和香港同时上市的A+H 股合并计算），其市值不超过基金资产净值的10%；</w:t>
      </w:r>
    </w:p>
    <w:p w14:paraId="7DB37069" w14:textId="7AF13BD8"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4</w:t>
      </w:r>
      <w:r>
        <w:rPr>
          <w:rFonts w:ascii="宋体" w:hAnsi="宋体" w:cs="Arial" w:hint="eastAsia"/>
          <w:sz w:val="24"/>
        </w:rPr>
        <w:t>、</w:t>
      </w:r>
      <w:r w:rsidRPr="00C85000">
        <w:rPr>
          <w:rFonts w:ascii="宋体" w:hAnsi="宋体" w:cs="Arial" w:hint="eastAsia"/>
          <w:sz w:val="24"/>
        </w:rPr>
        <w:t>本基金管理人管理</w:t>
      </w:r>
      <w:r w:rsidR="00A248AF">
        <w:rPr>
          <w:rFonts w:ascii="宋体" w:hAnsi="宋体" w:cs="Arial" w:hint="eastAsia"/>
          <w:sz w:val="24"/>
        </w:rPr>
        <w:t>且在本基金托管人处托管</w:t>
      </w:r>
      <w:r w:rsidRPr="00C85000">
        <w:rPr>
          <w:rFonts w:ascii="宋体" w:hAnsi="宋体" w:cs="Arial" w:hint="eastAsia"/>
          <w:sz w:val="24"/>
        </w:rPr>
        <w:t>的全部基金持有一家公司发行的证券（同一家公司在境内和香港同时上市的A+H股合并计算），不超过该证券的10%；</w:t>
      </w:r>
    </w:p>
    <w:p w14:paraId="67EC78DC" w14:textId="78AEFA40"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5</w:t>
      </w:r>
      <w:r>
        <w:rPr>
          <w:rFonts w:ascii="宋体" w:hAnsi="宋体" w:cs="Arial" w:hint="eastAsia"/>
          <w:sz w:val="24"/>
        </w:rPr>
        <w:t>、</w:t>
      </w:r>
      <w:r w:rsidRPr="00C85000">
        <w:rPr>
          <w:rFonts w:ascii="宋体" w:hAnsi="宋体" w:cs="Arial" w:hint="eastAsia"/>
          <w:sz w:val="24"/>
        </w:rPr>
        <w:t>本基金管理人管理</w:t>
      </w:r>
      <w:r w:rsidR="00A248AF">
        <w:rPr>
          <w:rFonts w:ascii="宋体" w:hAnsi="宋体" w:cs="Arial" w:hint="eastAsia"/>
          <w:sz w:val="24"/>
        </w:rPr>
        <w:t>且在本基金托管人处托管</w:t>
      </w:r>
      <w:r w:rsidRPr="00C85000">
        <w:rPr>
          <w:rFonts w:ascii="宋体" w:hAnsi="宋体" w:cs="Arial" w:hint="eastAsia"/>
          <w:sz w:val="24"/>
        </w:rPr>
        <w:t>的全部开放式基金持有一家上市公司发行的可流通股票，不得超过该上市公司可流通股票的15%，处于封闭期的定期开放基金不包含此条投资限制；</w:t>
      </w:r>
    </w:p>
    <w:p w14:paraId="75E56E8E" w14:textId="64CA54BA"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6</w:t>
      </w:r>
      <w:r>
        <w:rPr>
          <w:rFonts w:ascii="宋体" w:hAnsi="宋体" w:cs="Arial" w:hint="eastAsia"/>
          <w:sz w:val="24"/>
        </w:rPr>
        <w:t>、</w:t>
      </w:r>
      <w:r w:rsidRPr="00C85000">
        <w:rPr>
          <w:rFonts w:ascii="宋体" w:hAnsi="宋体" w:cs="Arial" w:hint="eastAsia"/>
          <w:sz w:val="24"/>
        </w:rPr>
        <w:t>本基金管理人管理</w:t>
      </w:r>
      <w:r w:rsidR="00577398" w:rsidRPr="00577398">
        <w:rPr>
          <w:rFonts w:ascii="宋体" w:hAnsi="宋体" w:cs="Arial" w:hint="eastAsia"/>
          <w:sz w:val="24"/>
        </w:rPr>
        <w:t>且在本基金托管人处托管</w:t>
      </w:r>
      <w:r w:rsidRPr="00C85000">
        <w:rPr>
          <w:rFonts w:ascii="宋体" w:hAnsi="宋体" w:cs="Arial" w:hint="eastAsia"/>
          <w:sz w:val="24"/>
        </w:rPr>
        <w:t>的全部投资组合持有一家上市公司发行的可流通股票，不得超过该上市公司可流通股票的30%；</w:t>
      </w:r>
    </w:p>
    <w:p w14:paraId="7DCF273B" w14:textId="5C9C4DF8"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7</w:t>
      </w:r>
      <w:r>
        <w:rPr>
          <w:rFonts w:ascii="宋体" w:hAnsi="宋体" w:cs="Arial" w:hint="eastAsia"/>
          <w:sz w:val="24"/>
        </w:rPr>
        <w:t>、</w:t>
      </w:r>
      <w:r w:rsidRPr="00C85000">
        <w:rPr>
          <w:rFonts w:ascii="宋体" w:hAnsi="宋体" w:cs="Arial" w:hint="eastAsia"/>
          <w:sz w:val="24"/>
        </w:rPr>
        <w:t>本基金持有单只基金的市值，不得超过基金资产净值的20%，且不得持有其他基金中基金；</w:t>
      </w:r>
    </w:p>
    <w:p w14:paraId="0F210723" w14:textId="130191AF"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8</w:t>
      </w:r>
      <w:r>
        <w:rPr>
          <w:rFonts w:ascii="宋体" w:hAnsi="宋体" w:cs="Arial" w:hint="eastAsia"/>
          <w:sz w:val="24"/>
        </w:rPr>
        <w:t>、</w:t>
      </w:r>
      <w:r w:rsidRPr="00C85000">
        <w:rPr>
          <w:rFonts w:ascii="宋体" w:hAnsi="宋体" w:cs="Arial" w:hint="eastAsia"/>
          <w:sz w:val="24"/>
        </w:rPr>
        <w:t>除ETF联接基金外，本基金管理人管理</w:t>
      </w:r>
      <w:r w:rsidR="00A248AF">
        <w:rPr>
          <w:rFonts w:ascii="宋体" w:hAnsi="宋体" w:cs="Arial" w:hint="eastAsia"/>
          <w:sz w:val="24"/>
        </w:rPr>
        <w:t>且在本基金托管人处托管</w:t>
      </w:r>
      <w:r w:rsidRPr="00C85000">
        <w:rPr>
          <w:rFonts w:ascii="宋体" w:hAnsi="宋体" w:cs="Arial" w:hint="eastAsia"/>
          <w:sz w:val="24"/>
        </w:rPr>
        <w:t>的全部基金中基金持有单只基金不得超过被投资基金净资产的20%，被投资基金净资产规模以最近定期报告披露的规模为准；</w:t>
      </w:r>
    </w:p>
    <w:p w14:paraId="011B7135" w14:textId="36996647"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lastRenderedPageBreak/>
        <w:t>9</w:t>
      </w:r>
      <w:r>
        <w:rPr>
          <w:rFonts w:ascii="宋体" w:hAnsi="宋体" w:cs="Arial" w:hint="eastAsia"/>
          <w:sz w:val="24"/>
        </w:rPr>
        <w:t>、</w:t>
      </w:r>
      <w:r w:rsidRPr="00C85000">
        <w:rPr>
          <w:rFonts w:ascii="宋体" w:hAnsi="宋体" w:cs="Arial" w:hint="eastAsia"/>
          <w:sz w:val="24"/>
        </w:rPr>
        <w:t>本基金投资其他基金，被投资基金的运作期限应当不少于1年、最近定期报告披露的基金净资产应不低于1亿元；</w:t>
      </w:r>
    </w:p>
    <w:p w14:paraId="14D2A72B" w14:textId="1F3A0337"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10</w:t>
      </w:r>
      <w:r>
        <w:rPr>
          <w:rFonts w:ascii="宋体" w:hAnsi="宋体" w:cs="Arial" w:hint="eastAsia"/>
          <w:sz w:val="24"/>
        </w:rPr>
        <w:t>、</w:t>
      </w:r>
      <w:r w:rsidRPr="00C85000">
        <w:rPr>
          <w:rFonts w:ascii="宋体" w:hAnsi="宋体" w:cs="Arial" w:hint="eastAsia"/>
          <w:sz w:val="24"/>
        </w:rPr>
        <w:t>本基金投资于封闭运作基金、定期开放基金等流通受限基金的资产占基金资产净值的比例不得超过10%；</w:t>
      </w:r>
    </w:p>
    <w:p w14:paraId="7063D6D7" w14:textId="04415AD1"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11</w:t>
      </w:r>
      <w:r>
        <w:rPr>
          <w:rFonts w:ascii="宋体" w:hAnsi="宋体" w:cs="Arial" w:hint="eastAsia"/>
          <w:sz w:val="24"/>
        </w:rPr>
        <w:t>、</w:t>
      </w:r>
      <w:r w:rsidRPr="00C85000">
        <w:rPr>
          <w:rFonts w:ascii="宋体" w:hAnsi="宋体" w:cs="Arial" w:hint="eastAsia"/>
          <w:sz w:val="24"/>
        </w:rPr>
        <w:t>本基金投资于同一原始权益人的各类资产支持证券的比例，不得超过基金资产净值的10%；</w:t>
      </w:r>
    </w:p>
    <w:p w14:paraId="4135E09E" w14:textId="0278FA91"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12</w:t>
      </w:r>
      <w:r>
        <w:rPr>
          <w:rFonts w:ascii="宋体" w:hAnsi="宋体" w:cs="Arial" w:hint="eastAsia"/>
          <w:sz w:val="24"/>
        </w:rPr>
        <w:t>、</w:t>
      </w:r>
      <w:r w:rsidRPr="00C85000">
        <w:rPr>
          <w:rFonts w:ascii="宋体" w:hAnsi="宋体" w:cs="Arial" w:hint="eastAsia"/>
          <w:sz w:val="24"/>
        </w:rPr>
        <w:t>本基金持有的全部资产支持证券，其市值不得超过基金资产净值的20%；</w:t>
      </w:r>
    </w:p>
    <w:p w14:paraId="4AF6DBD9" w14:textId="4E518866"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13</w:t>
      </w:r>
      <w:r>
        <w:rPr>
          <w:rFonts w:ascii="宋体" w:hAnsi="宋体" w:cs="Arial" w:hint="eastAsia"/>
          <w:sz w:val="24"/>
        </w:rPr>
        <w:t>、</w:t>
      </w:r>
      <w:r w:rsidRPr="00C85000">
        <w:rPr>
          <w:rFonts w:ascii="宋体" w:hAnsi="宋体" w:cs="Arial" w:hint="eastAsia"/>
          <w:sz w:val="24"/>
        </w:rPr>
        <w:t>本基金持有的同一（指同一信用级别）资产支持证券的比例，不得超过该资产支持证券规模的10%；</w:t>
      </w:r>
    </w:p>
    <w:p w14:paraId="7B5CF47C" w14:textId="17F858D5"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14</w:t>
      </w:r>
      <w:r>
        <w:rPr>
          <w:rFonts w:ascii="宋体" w:hAnsi="宋体" w:cs="Arial" w:hint="eastAsia"/>
          <w:sz w:val="24"/>
        </w:rPr>
        <w:t>、</w:t>
      </w:r>
      <w:r w:rsidRPr="00C85000">
        <w:rPr>
          <w:rFonts w:ascii="宋体" w:hAnsi="宋体" w:cs="Arial" w:hint="eastAsia"/>
          <w:sz w:val="24"/>
        </w:rPr>
        <w:t>本基金管理人管理</w:t>
      </w:r>
      <w:r w:rsidR="00A248AF">
        <w:rPr>
          <w:rFonts w:ascii="宋体" w:hAnsi="宋体" w:cs="Arial" w:hint="eastAsia"/>
          <w:sz w:val="24"/>
        </w:rPr>
        <w:t>且在本基金托管人处托管</w:t>
      </w:r>
      <w:r w:rsidRPr="00C85000">
        <w:rPr>
          <w:rFonts w:ascii="宋体" w:hAnsi="宋体" w:cs="Arial" w:hint="eastAsia"/>
          <w:sz w:val="24"/>
        </w:rPr>
        <w:t>的全部基金投资于同一原始权益人的各类资产支持证券，不得超过其各类资产支持证券合计规模的10%；</w:t>
      </w:r>
    </w:p>
    <w:p w14:paraId="381C4563" w14:textId="429D5651"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15</w:t>
      </w:r>
      <w:r>
        <w:rPr>
          <w:rFonts w:ascii="宋体" w:hAnsi="宋体" w:cs="Arial" w:hint="eastAsia"/>
          <w:sz w:val="24"/>
        </w:rPr>
        <w:t>、</w:t>
      </w:r>
      <w:r w:rsidRPr="00C85000">
        <w:rPr>
          <w:rFonts w:ascii="宋体" w:hAnsi="宋体" w:cs="Arial"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2F9EC90C" w14:textId="7D809DD9"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16</w:t>
      </w:r>
      <w:r w:rsidR="00AF30A3">
        <w:rPr>
          <w:rFonts w:ascii="宋体" w:hAnsi="宋体" w:cs="Arial" w:hint="eastAsia"/>
          <w:sz w:val="24"/>
        </w:rPr>
        <w:t>、</w:t>
      </w:r>
      <w:r w:rsidRPr="00C85000">
        <w:rPr>
          <w:rFonts w:ascii="宋体" w:hAnsi="宋体" w:cs="Arial" w:hint="eastAsia"/>
          <w:sz w:val="24"/>
        </w:rPr>
        <w:t>基金财产参与股票发行申购，本基金所申报的金额不超过本基金的总资产，本基金所申报的股票数量不超过拟发行股票公司本次发行股票的总量；</w:t>
      </w:r>
    </w:p>
    <w:p w14:paraId="7993A247" w14:textId="54EFA610" w:rsidR="00C85000" w:rsidRPr="00C85000" w:rsidRDefault="00C85000" w:rsidP="00C85000">
      <w:pPr>
        <w:adjustRightInd w:val="0"/>
        <w:snapToGrid w:val="0"/>
        <w:spacing w:line="360" w:lineRule="auto"/>
        <w:ind w:firstLineChars="200" w:firstLine="480"/>
        <w:rPr>
          <w:rFonts w:ascii="宋体" w:hAnsi="宋体" w:cs="Arial"/>
          <w:sz w:val="24"/>
        </w:rPr>
      </w:pPr>
      <w:r w:rsidRPr="00C85000">
        <w:rPr>
          <w:rFonts w:ascii="宋体" w:hAnsi="宋体" w:cs="Arial" w:hint="eastAsia"/>
          <w:sz w:val="24"/>
        </w:rPr>
        <w:t>17</w:t>
      </w:r>
      <w:r w:rsidR="00AF30A3">
        <w:rPr>
          <w:rFonts w:ascii="宋体" w:hAnsi="宋体" w:cs="Arial" w:hint="eastAsia"/>
          <w:sz w:val="24"/>
        </w:rPr>
        <w:t>、</w:t>
      </w:r>
      <w:r w:rsidRPr="00C85000">
        <w:rPr>
          <w:rFonts w:ascii="宋体" w:hAnsi="宋体" w:cs="Arial"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77C6601" w14:textId="364A33FA" w:rsidR="00C85000" w:rsidRPr="00C85000" w:rsidRDefault="009A607B" w:rsidP="00C85000">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Pr>
          <w:rFonts w:ascii="宋体" w:hAnsi="宋体" w:cs="Arial"/>
          <w:sz w:val="24"/>
        </w:rPr>
        <w:t>8</w:t>
      </w:r>
      <w:r w:rsidR="00AF30A3">
        <w:rPr>
          <w:rFonts w:ascii="宋体" w:hAnsi="宋体" w:cs="Arial" w:hint="eastAsia"/>
          <w:sz w:val="24"/>
        </w:rPr>
        <w:t>、</w:t>
      </w:r>
      <w:r w:rsidR="00C85000" w:rsidRPr="00C85000">
        <w:rPr>
          <w:rFonts w:ascii="宋体" w:hAnsi="宋体" w:cs="Arial" w:hint="eastAsia"/>
          <w:sz w:val="24"/>
        </w:rPr>
        <w:t>基金总资产不得超过基金净资产的140%；</w:t>
      </w:r>
    </w:p>
    <w:p w14:paraId="0A620357" w14:textId="1B819410" w:rsidR="00C85000" w:rsidRPr="00C85000" w:rsidRDefault="009A607B" w:rsidP="00C85000">
      <w:pPr>
        <w:adjustRightInd w:val="0"/>
        <w:snapToGrid w:val="0"/>
        <w:spacing w:line="360" w:lineRule="auto"/>
        <w:ind w:firstLineChars="200" w:firstLine="480"/>
        <w:rPr>
          <w:rFonts w:ascii="宋体" w:hAnsi="宋体" w:cs="Arial"/>
          <w:sz w:val="24"/>
        </w:rPr>
      </w:pPr>
      <w:r>
        <w:rPr>
          <w:rFonts w:ascii="宋体" w:hAnsi="宋体" w:cs="Arial"/>
          <w:sz w:val="24"/>
        </w:rPr>
        <w:t>19</w:t>
      </w:r>
      <w:r w:rsidR="00310507">
        <w:rPr>
          <w:rFonts w:ascii="宋体" w:hAnsi="宋体" w:cs="Arial" w:hint="eastAsia"/>
          <w:sz w:val="24"/>
        </w:rPr>
        <w:t>、</w:t>
      </w:r>
      <w:r w:rsidR="00C85000" w:rsidRPr="00C85000">
        <w:rPr>
          <w:rFonts w:ascii="宋体" w:hAnsi="宋体" w:cs="Arial" w:hint="eastAsia"/>
          <w:sz w:val="24"/>
        </w:rPr>
        <w:t>本基金投资存托凭证的比例限制依照境内上市交易的股票执行，与境内上市交易的股票合并计算；</w:t>
      </w:r>
    </w:p>
    <w:p w14:paraId="6D26E550" w14:textId="7C98EBBF" w:rsidR="00C85000" w:rsidRPr="00C85000" w:rsidRDefault="009A607B" w:rsidP="00C85000">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0</w:t>
      </w:r>
      <w:r w:rsidR="00310507">
        <w:rPr>
          <w:rFonts w:ascii="宋体" w:hAnsi="宋体" w:cs="Arial" w:hint="eastAsia"/>
          <w:sz w:val="24"/>
        </w:rPr>
        <w:t>、</w:t>
      </w:r>
      <w:r w:rsidR="00C85000" w:rsidRPr="00C85000">
        <w:rPr>
          <w:rFonts w:ascii="宋体" w:hAnsi="宋体" w:cs="Arial" w:hint="eastAsia"/>
          <w:sz w:val="24"/>
        </w:rPr>
        <w:t>基金管理人运用基金中基金财产投资于股票、债券等金融工具的，投资品种和比例应当符合基金中基金的投资目标和投资策略；</w:t>
      </w:r>
    </w:p>
    <w:p w14:paraId="432BC02B" w14:textId="46A426B0" w:rsidR="00353BD1" w:rsidRDefault="009A607B">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cs="Arial"/>
          <w:sz w:val="24"/>
        </w:rPr>
        <w:t>1</w:t>
      </w:r>
      <w:r w:rsidR="00310507">
        <w:rPr>
          <w:rFonts w:ascii="宋体" w:hAnsi="宋体" w:cs="Arial" w:hint="eastAsia"/>
          <w:sz w:val="24"/>
        </w:rPr>
        <w:t>、</w:t>
      </w:r>
      <w:r w:rsidR="00C85000" w:rsidRPr="00C85000">
        <w:rPr>
          <w:rFonts w:ascii="宋体" w:hAnsi="宋体" w:cs="Arial" w:hint="eastAsia"/>
          <w:sz w:val="24"/>
        </w:rPr>
        <w:t>法律法规及中国证监会规定的和《基金合同》约定的其他投资限制</w:t>
      </w:r>
      <w:r w:rsidR="00064D22">
        <w:rPr>
          <w:rFonts w:ascii="宋体" w:hAnsi="宋体" w:cs="Arial" w:hint="eastAsia"/>
          <w:sz w:val="24"/>
        </w:rPr>
        <w:t>。</w:t>
      </w:r>
    </w:p>
    <w:p w14:paraId="00780878" w14:textId="5FF13CA6" w:rsidR="00353BD1" w:rsidRDefault="00E84EA6">
      <w:pPr>
        <w:adjustRightInd w:val="0"/>
        <w:snapToGrid w:val="0"/>
        <w:spacing w:line="360" w:lineRule="auto"/>
        <w:ind w:firstLineChars="200" w:firstLine="480"/>
        <w:rPr>
          <w:rFonts w:ascii="宋体" w:hAnsi="宋体" w:cs="Arial"/>
          <w:sz w:val="24"/>
        </w:rPr>
      </w:pPr>
      <w:r w:rsidRPr="00E84EA6">
        <w:rPr>
          <w:rFonts w:ascii="宋体" w:hAnsi="宋体" w:cs="Arial" w:hint="eastAsia"/>
          <w:sz w:val="24"/>
        </w:rPr>
        <w:t>因证券市场波</w:t>
      </w:r>
      <w:r>
        <w:rPr>
          <w:rFonts w:ascii="宋体" w:hAnsi="宋体" w:cs="Arial" w:hint="eastAsia"/>
          <w:sz w:val="24"/>
        </w:rPr>
        <w:t>动、基金规模变动等基金管理人之外的因素致使基金投资不符合前款第</w:t>
      </w:r>
      <w:r w:rsidRPr="00E84EA6">
        <w:rPr>
          <w:rFonts w:ascii="宋体" w:hAnsi="宋体" w:cs="Arial" w:hint="eastAsia"/>
          <w:sz w:val="24"/>
        </w:rPr>
        <w:t>7</w:t>
      </w:r>
      <w:r>
        <w:rPr>
          <w:rFonts w:ascii="宋体" w:hAnsi="宋体" w:cs="Arial" w:hint="eastAsia"/>
          <w:sz w:val="24"/>
        </w:rPr>
        <w:t>、</w:t>
      </w:r>
      <w:r w:rsidRPr="00E84EA6">
        <w:rPr>
          <w:rFonts w:ascii="宋体" w:hAnsi="宋体" w:cs="Arial" w:hint="eastAsia"/>
          <w:sz w:val="24"/>
        </w:rPr>
        <w:t>8条规定的比例的，基金管理人应当在20个交易日内进行调整，但中</w:t>
      </w:r>
      <w:r>
        <w:rPr>
          <w:rFonts w:ascii="宋体" w:hAnsi="宋体" w:cs="Arial" w:hint="eastAsia"/>
          <w:sz w:val="24"/>
        </w:rPr>
        <w:t>国证监会规定的特殊情形除外。除上述第</w:t>
      </w:r>
      <w:r w:rsidRPr="00E84EA6">
        <w:rPr>
          <w:rFonts w:ascii="宋体" w:hAnsi="宋体" w:cs="Arial" w:hint="eastAsia"/>
          <w:sz w:val="24"/>
        </w:rPr>
        <w:t>2</w:t>
      </w:r>
      <w:r>
        <w:rPr>
          <w:rFonts w:ascii="宋体" w:hAnsi="宋体" w:cs="Arial" w:hint="eastAsia"/>
          <w:sz w:val="24"/>
        </w:rPr>
        <w:t>、</w:t>
      </w:r>
      <w:r w:rsidRPr="00E84EA6">
        <w:rPr>
          <w:rFonts w:ascii="宋体" w:hAnsi="宋体" w:cs="Arial" w:hint="eastAsia"/>
          <w:sz w:val="24"/>
        </w:rPr>
        <w:t>7</w:t>
      </w:r>
      <w:r>
        <w:rPr>
          <w:rFonts w:ascii="宋体" w:hAnsi="宋体" w:cs="Arial" w:hint="eastAsia"/>
          <w:sz w:val="24"/>
        </w:rPr>
        <w:t>、</w:t>
      </w:r>
      <w:r w:rsidRPr="00E84EA6">
        <w:rPr>
          <w:rFonts w:ascii="宋体" w:hAnsi="宋体" w:cs="Arial" w:hint="eastAsia"/>
          <w:sz w:val="24"/>
        </w:rPr>
        <w:t>8</w:t>
      </w:r>
      <w:r>
        <w:rPr>
          <w:rFonts w:ascii="宋体" w:hAnsi="宋体" w:cs="Arial" w:hint="eastAsia"/>
          <w:sz w:val="24"/>
        </w:rPr>
        <w:t>、</w:t>
      </w:r>
      <w:r w:rsidRPr="00E84EA6">
        <w:rPr>
          <w:rFonts w:ascii="宋体" w:hAnsi="宋体" w:cs="Arial" w:hint="eastAsia"/>
          <w:sz w:val="24"/>
        </w:rPr>
        <w:t>15</w:t>
      </w:r>
      <w:r>
        <w:rPr>
          <w:rFonts w:ascii="宋体" w:hAnsi="宋体" w:cs="Arial" w:hint="eastAsia"/>
          <w:sz w:val="24"/>
        </w:rPr>
        <w:t>、</w:t>
      </w:r>
      <w:r w:rsidRPr="00E84EA6">
        <w:rPr>
          <w:rFonts w:ascii="宋体" w:hAnsi="宋体" w:cs="Arial" w:hint="eastAsia"/>
          <w:sz w:val="24"/>
        </w:rPr>
        <w:t>17条外，因证券市场波动、基金规模变动等基金管理人之外的因素致使基金投资比例不符合上述规定投资比</w:t>
      </w:r>
      <w:r w:rsidRPr="00E84EA6">
        <w:rPr>
          <w:rFonts w:ascii="宋体" w:hAnsi="宋体" w:cs="Arial" w:hint="eastAsia"/>
          <w:sz w:val="24"/>
        </w:rPr>
        <w:lastRenderedPageBreak/>
        <w:t>例的，基金管理人应当在10个交易日内进行调整，但中国证监会规定的特殊情形除外</w:t>
      </w:r>
      <w:r w:rsidR="00064D22">
        <w:rPr>
          <w:rFonts w:ascii="宋体" w:hAnsi="宋体" w:cs="Arial" w:hint="eastAsia"/>
          <w:sz w:val="24"/>
        </w:rPr>
        <w:t>。</w:t>
      </w:r>
    </w:p>
    <w:p w14:paraId="17E984B7"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如果法律法规及监管政策等对上述投资组合比例限制进行变更的，如适用于本基金，基金管理人在履行适当程序后，以变更后的规定为准。法律法规或监管政策等取消上述限制的，如适用于本基金，基金管理人在履行适当程序后，则本基金投资不再受相关限制。</w:t>
      </w:r>
    </w:p>
    <w:p w14:paraId="74951EE5"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17CF284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（三）基金托管人</w:t>
      </w:r>
      <w:bookmarkStart w:id="14" w:name="OLE_LINK1"/>
      <w:r>
        <w:rPr>
          <w:rFonts w:ascii="宋体" w:hAnsi="宋体" w:cs="Arial" w:hint="eastAsia"/>
          <w:sz w:val="24"/>
        </w:rPr>
        <w:t>根据有关法律法规的规定及《基金合同》的约定，</w:t>
      </w:r>
      <w:bookmarkEnd w:id="14"/>
      <w:r>
        <w:rPr>
          <w:rFonts w:ascii="宋体" w:hAnsi="宋体" w:cs="Arial" w:hint="eastAsia"/>
          <w:sz w:val="24"/>
        </w:rPr>
        <w:t>对本托管协议第十五条第（九）款基金投资禁止行为通过事后监督方式进行监督。</w:t>
      </w:r>
    </w:p>
    <w:p w14:paraId="0149B97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45CB32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（四）基金托管人根据有关法律法规的规定及《基金合同》的约定，对基金管理人投资流通受限证券进行监督。</w:t>
      </w:r>
    </w:p>
    <w:p w14:paraId="73514CA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hint="eastAsia"/>
          <w:sz w:val="24"/>
        </w:rPr>
        <w:t>基金管理人投资流通受限证券，应事先根据中国证监会相关规定，明确基金投资流通受限证券的比例，</w:t>
      </w:r>
      <w:r>
        <w:rPr>
          <w:rFonts w:ascii="宋体" w:hAnsi="宋体" w:cs="Arial" w:hint="eastAsia"/>
          <w:sz w:val="24"/>
        </w:rPr>
        <w:t>制订严格的投资决策流程和风险控制制度，防范流动性风险、法律风险和操作风险等各种风险。</w:t>
      </w:r>
    </w:p>
    <w:p w14:paraId="10F6D9E7" w14:textId="77777777" w:rsidR="00353BD1" w:rsidRDefault="00064D22">
      <w:pPr>
        <w:adjustRightInd w:val="0"/>
        <w:snapToGrid w:val="0"/>
        <w:spacing w:line="360" w:lineRule="auto"/>
        <w:ind w:firstLineChars="200" w:firstLine="480"/>
        <w:rPr>
          <w:rFonts w:ascii="宋体" w:hAnsi="宋体"/>
          <w:sz w:val="24"/>
        </w:rPr>
      </w:pPr>
      <w:r>
        <w:rPr>
          <w:rFonts w:ascii="宋体" w:hAnsi="宋体" w:cs="Arial" w:hint="eastAsia"/>
          <w:sz w:val="24"/>
        </w:rPr>
        <w:t>1.本基金</w:t>
      </w:r>
      <w:r>
        <w:rPr>
          <w:rFonts w:ascii="宋体" w:hAnsi="宋体"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691239B9" w14:textId="77777777" w:rsidR="00353BD1" w:rsidRDefault="00064D22">
      <w:pPr>
        <w:spacing w:line="360" w:lineRule="auto"/>
        <w:ind w:firstLineChars="200" w:firstLine="480"/>
        <w:rPr>
          <w:rFonts w:ascii="宋体" w:hAnsi="宋体"/>
          <w:sz w:val="24"/>
        </w:rPr>
      </w:pPr>
      <w:r>
        <w:rPr>
          <w:rFonts w:ascii="宋体" w:hAnsi="宋体" w:cs="Arial" w:hint="eastAsia"/>
          <w:sz w:val="24"/>
        </w:rPr>
        <w:t>本基金</w:t>
      </w:r>
      <w:r>
        <w:rPr>
          <w:rFonts w:ascii="宋体" w:hAnsi="宋体" w:hint="eastAsia"/>
          <w:sz w:val="24"/>
        </w:rPr>
        <w:t>投资的流通受限证券限于可由中国证券登记结算有限责任公司或中央国债登记结算有限责任公司负责登记和存管，并可在证券交易所或全国银行间债券市场交易的证券。</w:t>
      </w:r>
    </w:p>
    <w:p w14:paraId="7B3D60FE" w14:textId="77777777" w:rsidR="00353BD1" w:rsidRDefault="00064D22">
      <w:pPr>
        <w:adjustRightInd w:val="0"/>
        <w:snapToGrid w:val="0"/>
        <w:spacing w:line="360" w:lineRule="auto"/>
        <w:ind w:firstLineChars="200" w:firstLine="480"/>
        <w:rPr>
          <w:rFonts w:ascii="宋体" w:hAnsi="宋体"/>
          <w:sz w:val="24"/>
        </w:rPr>
      </w:pPr>
      <w:r>
        <w:rPr>
          <w:rFonts w:ascii="宋体" w:hAnsi="宋体" w:cs="Arial" w:hint="eastAsia"/>
          <w:sz w:val="24"/>
        </w:rPr>
        <w:lastRenderedPageBreak/>
        <w:t>本基金</w:t>
      </w:r>
      <w:r>
        <w:rPr>
          <w:rFonts w:ascii="宋体" w:hAnsi="宋体"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CBEFAF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w:t>
      </w:r>
      <w:r>
        <w:rPr>
          <w:rFonts w:ascii="宋体" w:hAnsi="宋体" w:hint="eastAsia"/>
          <w:sz w:val="24"/>
        </w:rPr>
        <w:t>投资流通受限证券，不得预付任何形式的保证金。</w:t>
      </w:r>
      <w:r>
        <w:rPr>
          <w:rFonts w:ascii="宋体" w:hAnsi="宋体" w:cs="Arial" w:hint="eastAsia"/>
          <w:sz w:val="24"/>
        </w:rPr>
        <w:t>若有最新法律法规、监管政策变更规定的，根据最新法律法规、监管政策执行</w:t>
      </w:r>
    </w:p>
    <w:p w14:paraId="45AEB7F6" w14:textId="77777777" w:rsidR="00353BD1" w:rsidRDefault="00064D22">
      <w:pPr>
        <w:spacing w:line="360" w:lineRule="auto"/>
        <w:ind w:firstLineChars="200" w:firstLine="480"/>
        <w:rPr>
          <w:rFonts w:ascii="宋体" w:hAnsi="宋体"/>
          <w:sz w:val="24"/>
        </w:rPr>
      </w:pPr>
      <w:r>
        <w:rPr>
          <w:rFonts w:ascii="宋体" w:hAnsi="宋体" w:cs="Arial" w:hint="eastAsia"/>
          <w:sz w:val="24"/>
        </w:rPr>
        <w:t>2.</w:t>
      </w:r>
      <w:r>
        <w:rPr>
          <w:rFonts w:ascii="宋体" w:hAnsi="宋体"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5AD4374D" w14:textId="77777777" w:rsidR="00353BD1" w:rsidRDefault="00064D22">
      <w:pPr>
        <w:spacing w:line="360" w:lineRule="auto"/>
        <w:ind w:firstLineChars="200" w:firstLine="480"/>
        <w:rPr>
          <w:rFonts w:ascii="宋体" w:hAnsi="宋体"/>
          <w:sz w:val="24"/>
        </w:rPr>
      </w:pPr>
      <w:r>
        <w:rPr>
          <w:rFonts w:ascii="宋体" w:hAnsi="宋体"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A5A6422" w14:textId="77777777" w:rsidR="00353BD1" w:rsidRDefault="00064D22">
      <w:pPr>
        <w:spacing w:line="360" w:lineRule="auto"/>
        <w:ind w:firstLineChars="200" w:firstLine="480"/>
        <w:rPr>
          <w:rFonts w:ascii="宋体" w:hAnsi="宋体"/>
          <w:sz w:val="24"/>
        </w:rPr>
      </w:pPr>
      <w:r>
        <w:rPr>
          <w:rFonts w:ascii="宋体" w:hAnsi="宋体" w:cs="Arial" w:hint="eastAsia"/>
          <w:sz w:val="24"/>
        </w:rPr>
        <w:t>3.</w:t>
      </w:r>
      <w:r>
        <w:rPr>
          <w:rFonts w:ascii="宋体" w:hAnsi="宋体"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C03A0E" w14:textId="77777777" w:rsidR="00353BD1" w:rsidRDefault="00064D22">
      <w:pPr>
        <w:spacing w:line="360" w:lineRule="auto"/>
        <w:ind w:firstLineChars="200" w:firstLine="480"/>
        <w:rPr>
          <w:rFonts w:ascii="宋体" w:hAnsi="宋体"/>
          <w:sz w:val="24"/>
        </w:rPr>
      </w:pPr>
      <w:r>
        <w:rPr>
          <w:rFonts w:ascii="宋体" w:hAnsi="宋体" w:hint="eastAsia"/>
          <w:sz w:val="24"/>
        </w:rPr>
        <w:t>（1）中国证监会批准发行非公开发行股票的批准文件。</w:t>
      </w:r>
    </w:p>
    <w:p w14:paraId="217FEC6D" w14:textId="77777777" w:rsidR="00353BD1" w:rsidRDefault="00064D22">
      <w:pPr>
        <w:spacing w:line="360" w:lineRule="auto"/>
        <w:ind w:firstLineChars="200" w:firstLine="480"/>
        <w:rPr>
          <w:rFonts w:ascii="宋体" w:hAnsi="宋体"/>
          <w:sz w:val="24"/>
        </w:rPr>
      </w:pPr>
      <w:r>
        <w:rPr>
          <w:rFonts w:ascii="宋体" w:hAnsi="宋体" w:hint="eastAsia"/>
          <w:sz w:val="24"/>
        </w:rPr>
        <w:t>（2）非公开发行股票有关发行数量、发行价格、锁定期等发行资料。</w:t>
      </w:r>
    </w:p>
    <w:p w14:paraId="439DD40F" w14:textId="77777777" w:rsidR="00353BD1" w:rsidRDefault="00064D22">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）基金拟认购的数量、价格、总成本、账面价值。</w:t>
      </w:r>
    </w:p>
    <w:p w14:paraId="18DD21B6" w14:textId="77777777" w:rsidR="00353BD1" w:rsidRDefault="00064D22">
      <w:pPr>
        <w:spacing w:line="360" w:lineRule="auto"/>
        <w:ind w:firstLineChars="200" w:firstLine="480"/>
        <w:rPr>
          <w:rFonts w:ascii="宋体" w:hAnsi="宋体"/>
          <w:sz w:val="24"/>
        </w:rPr>
      </w:pPr>
      <w:r>
        <w:rPr>
          <w:rFonts w:ascii="宋体" w:hAnsi="宋体" w:cs="Arial" w:hint="eastAsia"/>
          <w:sz w:val="24"/>
        </w:rPr>
        <w:t>4.</w:t>
      </w:r>
      <w:r>
        <w:rPr>
          <w:rFonts w:ascii="宋体" w:hAnsi="宋体"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766309EC" w14:textId="7FF7C3FD" w:rsidR="00353BD1" w:rsidRDefault="00064D22">
      <w:pPr>
        <w:spacing w:line="360" w:lineRule="auto"/>
        <w:ind w:firstLineChars="200" w:firstLine="480"/>
        <w:rPr>
          <w:rFonts w:ascii="宋体" w:hAnsi="宋体"/>
          <w:sz w:val="24"/>
        </w:rPr>
      </w:pPr>
      <w:r>
        <w:rPr>
          <w:rFonts w:ascii="宋体" w:hAnsi="宋体" w:hint="eastAsia"/>
          <w:sz w:val="24"/>
        </w:rPr>
        <w:t>本基金有关投资流通受限证券比例如违</w:t>
      </w:r>
      <w:r w:rsidR="00DF1B07">
        <w:rPr>
          <w:rFonts w:ascii="宋体" w:hAnsi="宋体" w:hint="eastAsia"/>
          <w:sz w:val="24"/>
        </w:rPr>
        <w:t>反有关限制规定，在合理期限内未能进行及时调整，基金管理人应在两</w:t>
      </w:r>
      <w:r>
        <w:rPr>
          <w:rFonts w:ascii="宋体" w:hAnsi="宋体" w:hint="eastAsia"/>
          <w:sz w:val="24"/>
        </w:rPr>
        <w:t>日内编制临时报告书，予以公告。</w:t>
      </w:r>
    </w:p>
    <w:p w14:paraId="50809586" w14:textId="77777777" w:rsidR="00353BD1" w:rsidRDefault="00064D22">
      <w:pPr>
        <w:adjustRightInd w:val="0"/>
        <w:snapToGrid w:val="0"/>
        <w:spacing w:line="360" w:lineRule="auto"/>
        <w:ind w:firstLineChars="200" w:firstLine="480"/>
        <w:rPr>
          <w:rFonts w:ascii="宋体" w:hAnsi="宋体"/>
          <w:sz w:val="24"/>
        </w:rPr>
      </w:pPr>
      <w:r>
        <w:rPr>
          <w:rFonts w:ascii="宋体" w:hAnsi="宋体" w:cs="Arial"/>
          <w:sz w:val="24"/>
        </w:rPr>
        <w:lastRenderedPageBreak/>
        <w:t>5</w:t>
      </w:r>
      <w:r>
        <w:rPr>
          <w:rFonts w:ascii="宋体" w:hAnsi="宋体" w:cs="Arial" w:hint="eastAsia"/>
          <w:sz w:val="24"/>
        </w:rPr>
        <w:t>.</w:t>
      </w:r>
      <w:r>
        <w:rPr>
          <w:rFonts w:ascii="宋体" w:hAnsi="宋体" w:hint="eastAsia"/>
          <w:sz w:val="24"/>
        </w:rPr>
        <w:t>相关法律法规对基金投资流通受限证券有新规定的，从其规定。</w:t>
      </w:r>
    </w:p>
    <w:p w14:paraId="6FF51A0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（五）基金托管人根据有关法律法规的规定及《基金合同》的约定，对基金资产净值计算、</w:t>
      </w:r>
      <w:r>
        <w:rPr>
          <w:rFonts w:asciiTheme="minorEastAsia" w:hAnsiTheme="minorEastAsia" w:cs="Times New Roman" w:hint="eastAsia"/>
          <w:sz w:val="24"/>
        </w:rPr>
        <w:t>各类</w:t>
      </w:r>
      <w:r>
        <w:rPr>
          <w:rFonts w:ascii="宋体" w:hAnsi="宋体" w:cs="Arial" w:hint="eastAsia"/>
          <w:sz w:val="24"/>
        </w:rPr>
        <w:t>基金份额净值计算、应收资金到账、基金费用开支及收入确定、基金收益分配、相关信息披露、基金宣传推介材料中登载基金业绩表现数据等进行监督和核查。</w:t>
      </w:r>
    </w:p>
    <w:p w14:paraId="28F3A0E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56FD62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E770D5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484718B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九）基金托管人发现基金管理人有重大违规行为，应及时报告中国证监会，同时通知基金管理人限期纠正，并将纠正结果报告中国证监会。基金管理人无正当理由，拒绝、阻挠基金托管人根据本托管协议规定行使监督权，或采取拖延、欺诈等手段妨碍基金托管人进行有效监督，情节严重或经基金托管人提出警告仍不改正的，基金托管人应报告中国证监会。</w:t>
      </w:r>
    </w:p>
    <w:p w14:paraId="6A8C3670" w14:textId="77777777" w:rsidR="00353BD1" w:rsidRDefault="00064D22">
      <w:pPr>
        <w:pStyle w:val="2"/>
        <w:spacing w:line="360" w:lineRule="auto"/>
        <w:jc w:val="center"/>
        <w:rPr>
          <w:rFonts w:ascii="宋体" w:eastAsia="宋体" w:hAnsi="宋体"/>
          <w:sz w:val="30"/>
        </w:rPr>
      </w:pPr>
      <w:bookmarkStart w:id="15" w:name="_Toc86225291"/>
      <w:bookmarkStart w:id="16" w:name="_Toc110830492"/>
      <w:bookmarkStart w:id="17" w:name="_Toc110765660"/>
      <w:bookmarkStart w:id="18" w:name="_Toc86727355"/>
      <w:bookmarkStart w:id="19" w:name="_Toc86223242"/>
      <w:bookmarkStart w:id="20" w:name="_Toc86649722"/>
      <w:bookmarkStart w:id="21" w:name="_Toc119402710"/>
      <w:bookmarkStart w:id="22" w:name="_Toc118972648"/>
      <w:bookmarkStart w:id="23" w:name="_Toc108512358"/>
      <w:bookmarkStart w:id="24" w:name="_Toc89163368"/>
      <w:bookmarkStart w:id="25" w:name="_Toc124325888"/>
      <w:bookmarkStart w:id="26" w:name="_Toc110761796"/>
      <w:bookmarkStart w:id="27" w:name="_Toc118774803"/>
      <w:bookmarkStart w:id="28" w:name="_Toc120435783"/>
      <w:bookmarkStart w:id="29" w:name="_Toc86726439"/>
      <w:bookmarkStart w:id="30" w:name="_Toc118212950"/>
      <w:bookmarkStart w:id="31" w:name="_Toc86737929"/>
      <w:r>
        <w:rPr>
          <w:rFonts w:ascii="宋体" w:eastAsia="宋体" w:hAnsi="宋体" w:hint="eastAsia"/>
          <w:sz w:val="30"/>
        </w:rPr>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2011609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（一）基金管理人对基金托管人履行托管职责情况进行核查，核查事项包括基</w:t>
      </w:r>
      <w:r>
        <w:rPr>
          <w:rFonts w:ascii="宋体" w:hAnsi="宋体" w:cs="Arial" w:hint="eastAsia"/>
          <w:sz w:val="24"/>
        </w:rPr>
        <w:lastRenderedPageBreak/>
        <w:t>金托管人安全保管基金财产、开设基金财产的资金账户和证券账户、复核基金管理人计算的基金资产净值和</w:t>
      </w:r>
      <w:r>
        <w:rPr>
          <w:rFonts w:asciiTheme="minorEastAsia" w:hAnsiTheme="minorEastAsia" w:cs="Times New Roman" w:hint="eastAsia"/>
          <w:sz w:val="24"/>
        </w:rPr>
        <w:t>各类</w:t>
      </w:r>
      <w:r>
        <w:rPr>
          <w:rFonts w:ascii="宋体" w:hAnsi="宋体" w:cs="Arial" w:hint="eastAsia"/>
          <w:sz w:val="24"/>
        </w:rPr>
        <w:t>基金份额净值、根据基金管理人指令办理清算交收、相关信息披露和监督基金投资运作等行为。</w:t>
      </w:r>
    </w:p>
    <w:p w14:paraId="55B3955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575EB12"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77C80D05" w14:textId="77777777" w:rsidR="00353BD1" w:rsidRDefault="00353BD1">
      <w:pPr>
        <w:spacing w:line="360" w:lineRule="auto"/>
        <w:rPr>
          <w:rFonts w:ascii="宋体" w:hAnsi="宋体"/>
          <w:sz w:val="24"/>
        </w:rPr>
      </w:pPr>
    </w:p>
    <w:p w14:paraId="50A85FD8" w14:textId="77777777" w:rsidR="00353BD1" w:rsidRDefault="00064D22">
      <w:pPr>
        <w:pStyle w:val="2"/>
        <w:spacing w:line="360" w:lineRule="auto"/>
        <w:jc w:val="center"/>
        <w:rPr>
          <w:rFonts w:ascii="宋体" w:eastAsia="宋体" w:hAnsi="宋体"/>
          <w:sz w:val="30"/>
        </w:rPr>
      </w:pPr>
      <w:bookmarkStart w:id="32" w:name="_Toc110765661"/>
      <w:bookmarkStart w:id="33" w:name="_Toc124325889"/>
      <w:bookmarkStart w:id="34" w:name="_Toc86726440"/>
      <w:bookmarkStart w:id="35" w:name="_Toc118972649"/>
      <w:bookmarkStart w:id="36" w:name="_Toc108512359"/>
      <w:bookmarkStart w:id="37" w:name="_Toc84234388"/>
      <w:bookmarkStart w:id="38" w:name="_Toc86727356"/>
      <w:bookmarkStart w:id="39" w:name="_Toc118774804"/>
      <w:bookmarkStart w:id="40" w:name="_Toc89163369"/>
      <w:bookmarkStart w:id="41" w:name="_Toc86649723"/>
      <w:bookmarkStart w:id="42" w:name="_Toc86737930"/>
      <w:bookmarkStart w:id="43" w:name="_Toc110830493"/>
      <w:bookmarkStart w:id="44" w:name="_Toc110761797"/>
      <w:bookmarkStart w:id="45" w:name="_Toc84133786"/>
      <w:bookmarkStart w:id="46" w:name="_Toc118212951"/>
      <w:bookmarkStart w:id="47" w:name="_Toc84234435"/>
      <w:bookmarkStart w:id="48" w:name="_Toc119402711"/>
      <w:bookmarkStart w:id="49" w:name="_Toc86204789"/>
      <w:bookmarkStart w:id="50" w:name="_Toc120435784"/>
      <w:bookmarkStart w:id="51" w:name="_Toc86223243"/>
      <w:bookmarkStart w:id="52" w:name="_Toc86225292"/>
      <w:r>
        <w:rPr>
          <w:rFonts w:ascii="宋体" w:eastAsia="宋体" w:hAnsi="宋体" w:hint="eastAsia"/>
          <w:sz w:val="30"/>
        </w:rPr>
        <w:t>五、基金财产的保管</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671B20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（一）基金财产保管的原则</w:t>
      </w:r>
    </w:p>
    <w:p w14:paraId="32C7276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1.基金财产应独立于基金管理人、基金托管人的固有财产。</w:t>
      </w:r>
    </w:p>
    <w:p w14:paraId="1D3FA67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2.基金托管人应安全保管基金财产。</w:t>
      </w:r>
    </w:p>
    <w:p w14:paraId="2DE1C30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3.基金托管人按照规定开设基金财产的资金账户和证券账户。</w:t>
      </w:r>
    </w:p>
    <w:p w14:paraId="4902B17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4.基金托管人对所托管的不同基金财产分别设置账户，确保基金财产的完整与独立。</w:t>
      </w:r>
    </w:p>
    <w:p w14:paraId="075DF8B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5.基金托管人按照《基金合同》和本协议的约定保管基金财产，如有特殊情况双方可另行协商解决。基金</w:t>
      </w:r>
      <w:r>
        <w:rPr>
          <w:rFonts w:ascii="宋体" w:hAnsi="宋体"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w:t>
      </w:r>
      <w:r>
        <w:rPr>
          <w:rFonts w:ascii="宋体" w:hAnsi="宋体" w:hint="eastAsia"/>
          <w:sz w:val="24"/>
        </w:rPr>
        <w:lastRenderedPageBreak/>
        <w:t>和账户维护费等费用）。</w:t>
      </w:r>
    </w:p>
    <w:p w14:paraId="3B1C6FC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4CFA296C"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7.除依据法律法规和《基金合同》的规定外，基金托管人不得委托第三人托管基金财产。</w:t>
      </w:r>
    </w:p>
    <w:p w14:paraId="3413EA2E"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（二）基金募集期间及募集资金的验资</w:t>
      </w:r>
    </w:p>
    <w:p w14:paraId="7B0BA74C" w14:textId="04B990DB"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1.基金募集期间募集的资金应存于基金管理人在基金托管人的营业机构开立的“基金募集专户”。该账户由基金管理人开立并管理。</w:t>
      </w:r>
    </w:p>
    <w:p w14:paraId="091DFE7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符合《证券法》规定的注册会计师签字方为有效。</w:t>
      </w:r>
    </w:p>
    <w:p w14:paraId="5EB86F8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3.若基金募集期限届满，未能达到《基金合同》生效的条件，由基金管理人按规定办理退款等事宜。</w:t>
      </w:r>
    </w:p>
    <w:p w14:paraId="649A71E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（三）基金托管资金账户的开立和管理</w:t>
      </w:r>
    </w:p>
    <w:p w14:paraId="1410235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4A29004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2.基金托管资金账户的开立和使用，限于满足开展本基金业务的需要。基金托管人和基金管理人不得假借本基金的名义开立任何其他银行账户；亦不得使用基金的任何账户进行本基金业务以外的活动。</w:t>
      </w:r>
    </w:p>
    <w:p w14:paraId="21FC495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3.基金托管资金账户的开立和管理应符合银行业监督管理机构的有关规定。</w:t>
      </w:r>
    </w:p>
    <w:p w14:paraId="66961BC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4.在符合法律法规规定的条件下，基金托管人可以通过基金托管人专用账户办理基金资产的支付。</w:t>
      </w:r>
    </w:p>
    <w:p w14:paraId="27B51363" w14:textId="77777777" w:rsidR="00353BD1" w:rsidRDefault="00064D22">
      <w:pPr>
        <w:adjustRightInd w:val="0"/>
        <w:snapToGrid w:val="0"/>
        <w:spacing w:line="360" w:lineRule="auto"/>
        <w:ind w:firstLine="480"/>
        <w:rPr>
          <w:rFonts w:ascii="宋体" w:hAnsi="宋体" w:cs="Arial"/>
          <w:sz w:val="24"/>
        </w:rPr>
      </w:pPr>
      <w:r w:rsidRPr="00EA3C6C">
        <w:rPr>
          <w:rFonts w:ascii="宋体" w:hAnsi="宋体" w:cs="Arial"/>
          <w:sz w:val="24"/>
        </w:rPr>
        <w:t>5.基金管理人应于托管产品到期后及时完成收益兑付、费用结清及其他应收应付款项资金划转，在确保后续不再发生款项进出后的10个工作日内向托管人发</w:t>
      </w:r>
      <w:r w:rsidRPr="00EA3C6C">
        <w:rPr>
          <w:rFonts w:ascii="宋体" w:hAnsi="宋体" w:cs="Arial"/>
          <w:sz w:val="24"/>
        </w:rPr>
        <w:lastRenderedPageBreak/>
        <w:t>出销户申请。</w:t>
      </w:r>
    </w:p>
    <w:p w14:paraId="68B5923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（四）基金证券账户和结算备付金账户的开立和管理</w:t>
      </w:r>
    </w:p>
    <w:p w14:paraId="18B7D66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1.基金托管人在中国证券登记结算有限责任公司为基金开立基金托管人与基金联名的证券账户。</w:t>
      </w:r>
    </w:p>
    <w:p w14:paraId="5FA8CF4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6A25014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3.基金证券账户的开立和证券账户卡的保管由基金托管人负责，账户资产的管理和运用由基金管理人负责。</w:t>
      </w:r>
    </w:p>
    <w:p w14:paraId="28ADFD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35DDE86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D2A58F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7CA2E9F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6.若中国证监会或其他监管机构在本托管协议订立日之后允许基金从事其他投资品种的投资业务，涉及相关账户的开立、使用的，若无相关规定，则基金托管人比照上述关于账户开立、使用的规定执行。</w:t>
      </w:r>
    </w:p>
    <w:p w14:paraId="10F7AA5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（五）银行间账户的开设和管理</w:t>
      </w:r>
    </w:p>
    <w:p w14:paraId="084D8E6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w:t>
      </w:r>
    </w:p>
    <w:p w14:paraId="743B0778" w14:textId="77777777" w:rsidR="00EB5593" w:rsidRPr="00EB5593" w:rsidRDefault="00EB5593" w:rsidP="00EB5593">
      <w:pPr>
        <w:adjustRightInd w:val="0"/>
        <w:snapToGrid w:val="0"/>
        <w:spacing w:line="360" w:lineRule="auto"/>
        <w:ind w:firstLineChars="200" w:firstLine="480"/>
        <w:rPr>
          <w:rFonts w:ascii="宋体" w:hAnsi="宋体" w:cs="Arial"/>
          <w:sz w:val="24"/>
        </w:rPr>
      </w:pPr>
      <w:r w:rsidRPr="00EB5593">
        <w:rPr>
          <w:rFonts w:ascii="宋体" w:hAnsi="宋体" w:cs="Arial" w:hint="eastAsia"/>
          <w:sz w:val="24"/>
        </w:rPr>
        <w:t>（六）开放式基金账户的开设和管理</w:t>
      </w:r>
    </w:p>
    <w:p w14:paraId="179A6D8C" w14:textId="77777777" w:rsidR="00EB5593" w:rsidRPr="00EB5593" w:rsidRDefault="00EB5593" w:rsidP="00EB5593">
      <w:pPr>
        <w:adjustRightInd w:val="0"/>
        <w:snapToGrid w:val="0"/>
        <w:spacing w:line="360" w:lineRule="auto"/>
        <w:ind w:firstLineChars="200" w:firstLine="480"/>
        <w:rPr>
          <w:rFonts w:ascii="宋体" w:hAnsi="宋体" w:cs="Arial"/>
          <w:sz w:val="24"/>
        </w:rPr>
      </w:pPr>
      <w:r w:rsidRPr="00EB5593">
        <w:rPr>
          <w:rFonts w:ascii="宋体" w:hAnsi="宋体" w:cs="Arial" w:hint="eastAsia"/>
          <w:sz w:val="24"/>
        </w:rPr>
        <w:t>场外开放式基金账户由管理人根据基金公司要求填写相关资料后开立。管理</w:t>
      </w:r>
      <w:r w:rsidRPr="00EB5593">
        <w:rPr>
          <w:rFonts w:ascii="宋体" w:hAnsi="宋体" w:cs="Arial" w:hint="eastAsia"/>
          <w:sz w:val="24"/>
        </w:rPr>
        <w:lastRenderedPageBreak/>
        <w:t>人应指定托管资金账户作为开放式基金交易及回款的唯一结算账户。管理人应及时将开放式基金账户的信息发送托管人。</w:t>
      </w:r>
    </w:p>
    <w:p w14:paraId="72FF12BC" w14:textId="2D86ABE3" w:rsidR="00EB5593" w:rsidRDefault="00EB5593" w:rsidP="00EB5593">
      <w:pPr>
        <w:adjustRightInd w:val="0"/>
        <w:snapToGrid w:val="0"/>
        <w:spacing w:line="360" w:lineRule="auto"/>
        <w:ind w:firstLineChars="200" w:firstLine="480"/>
        <w:rPr>
          <w:rFonts w:ascii="宋体" w:hAnsi="宋体" w:cs="Arial"/>
          <w:sz w:val="24"/>
        </w:rPr>
      </w:pPr>
      <w:r w:rsidRPr="00EB5593">
        <w:rPr>
          <w:rFonts w:ascii="宋体" w:hAnsi="宋体" w:cs="Arial" w:hint="eastAsia"/>
          <w:sz w:val="24"/>
        </w:rPr>
        <w:t>管理人选择通过机构投资者场外投资业务平台（简称"FISP"）参与开放式基金投资的，应由投资管理人在FISP系统登记产品信息（包含托管人信息），由托管人对银行账户信息进行验证。产品登记成功后，由投资管理人在线向基金销售机构提交开户申请，账户开立信息通过FISP反馈投资管理人和托管人</w:t>
      </w:r>
      <w:r>
        <w:rPr>
          <w:rFonts w:ascii="宋体" w:hAnsi="宋体" w:cs="Arial" w:hint="eastAsia"/>
          <w:sz w:val="24"/>
        </w:rPr>
        <w:t>。</w:t>
      </w:r>
    </w:p>
    <w:p w14:paraId="225D39B3" w14:textId="44B08791"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EB5593">
        <w:rPr>
          <w:rFonts w:ascii="宋体" w:hAnsi="宋体" w:cs="Arial" w:hint="eastAsia"/>
          <w:sz w:val="24"/>
        </w:rPr>
        <w:t>七</w:t>
      </w:r>
      <w:r>
        <w:rPr>
          <w:rFonts w:ascii="宋体" w:hAnsi="宋体" w:cs="Arial" w:hint="eastAsia"/>
          <w:sz w:val="24"/>
        </w:rPr>
        <w:t>）其他账户的开立和管理</w:t>
      </w:r>
    </w:p>
    <w:p w14:paraId="6D7B3C8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BCED3B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2.法律法规等有关规定对相关账户的开立和管理另有规定的，从其规定办理。</w:t>
      </w:r>
    </w:p>
    <w:p w14:paraId="389D4CA1" w14:textId="434DA8A8"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w:t>
      </w:r>
      <w:r w:rsidR="00EB5593">
        <w:rPr>
          <w:rFonts w:ascii="宋体" w:hAnsi="宋体" w:cs="Arial" w:hint="eastAsia"/>
          <w:sz w:val="24"/>
        </w:rPr>
        <w:t>八</w:t>
      </w:r>
      <w:r>
        <w:rPr>
          <w:rFonts w:ascii="宋体" w:hAnsi="宋体" w:cs="Arial" w:hint="eastAsia"/>
          <w:sz w:val="24"/>
        </w:rPr>
        <w:t>）基金财产投资的有关有价凭证等的保管</w:t>
      </w:r>
    </w:p>
    <w:p w14:paraId="05918FF6" w14:textId="77777777" w:rsidR="00353BD1" w:rsidRDefault="00064D22">
      <w:pPr>
        <w:adjustRightInd w:val="0"/>
        <w:snapToGrid w:val="0"/>
        <w:spacing w:line="360" w:lineRule="auto"/>
        <w:ind w:firstLineChars="200" w:firstLine="480"/>
        <w:rPr>
          <w:rFonts w:ascii="宋体" w:hAnsi="宋体" w:cs="Arial"/>
        </w:rPr>
      </w:pPr>
      <w:r>
        <w:rPr>
          <w:rFonts w:ascii="宋体" w:hAnsi="宋体" w:cs="Arial" w:hint="eastAsia"/>
          <w:sz w:val="24"/>
        </w:rPr>
        <w:t>基金财产投资的有关实物证券、银行</w:t>
      </w:r>
      <w:r>
        <w:rPr>
          <w:rFonts w:ascii="宋体" w:hAnsi="宋体" w:hint="eastAsia"/>
          <w:sz w:val="24"/>
        </w:rPr>
        <w:t>存款开户证实书</w:t>
      </w:r>
      <w:r>
        <w:rPr>
          <w:rFonts w:ascii="宋体"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3C4C912E" w14:textId="154C0CDA"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w:t>
      </w:r>
      <w:r w:rsidR="00EB5593">
        <w:rPr>
          <w:rFonts w:ascii="宋体" w:hAnsi="宋体" w:cs="Arial" w:hint="eastAsia"/>
          <w:sz w:val="24"/>
        </w:rPr>
        <w:t>九</w:t>
      </w:r>
      <w:r>
        <w:rPr>
          <w:rFonts w:ascii="宋体" w:hAnsi="宋体" w:cs="Arial" w:hint="eastAsia"/>
          <w:sz w:val="24"/>
        </w:rPr>
        <w:t>）与基金财产有关的重大合同的保管</w:t>
      </w:r>
    </w:p>
    <w:p w14:paraId="606A701E" w14:textId="77777777" w:rsidR="00353BD1" w:rsidRDefault="00064D22">
      <w:pPr>
        <w:adjustRightInd w:val="0"/>
        <w:snapToGrid w:val="0"/>
        <w:spacing w:line="360" w:lineRule="auto"/>
        <w:ind w:firstLineChars="200" w:firstLine="480"/>
        <w:rPr>
          <w:rFonts w:ascii="宋体" w:hAnsi="宋体"/>
          <w:sz w:val="30"/>
          <w:szCs w:val="30"/>
        </w:rPr>
      </w:pPr>
      <w:r>
        <w:rPr>
          <w:rFonts w:ascii="宋体" w:hAnsi="宋体" w:cs="Arial" w:hint="eastAsia"/>
          <w:sz w:val="24"/>
        </w:rPr>
        <w:t>由基金管理人代表基金签署的、与基金有关的重大合同的原件分别由基金管理人、基金托管人保管。除本协议另有规定外，基金管理人在代表基金签署与基金有关的重大合同时应保证基金一方持有两份以上的正本，以保证基金管理人和基金托管人至少各持有一份正本的原件。基金管理人应在重大合同签署后及时将重大合同传真给基金托管人，并在三十个工作日内将正本送达基金托管人处。重大合同的保管期限不低于法律法规规定的最低期限。</w:t>
      </w:r>
    </w:p>
    <w:p w14:paraId="6E5C2A01" w14:textId="77777777" w:rsidR="00353BD1" w:rsidRDefault="00353BD1">
      <w:pPr>
        <w:spacing w:line="360" w:lineRule="auto"/>
        <w:rPr>
          <w:rFonts w:ascii="宋体" w:hAnsi="宋体"/>
          <w:sz w:val="24"/>
        </w:rPr>
      </w:pPr>
    </w:p>
    <w:p w14:paraId="60C452E9" w14:textId="77777777" w:rsidR="00353BD1" w:rsidRDefault="00064D22">
      <w:pPr>
        <w:pStyle w:val="2"/>
        <w:spacing w:line="360" w:lineRule="auto"/>
        <w:jc w:val="center"/>
        <w:rPr>
          <w:rFonts w:ascii="宋体" w:eastAsia="宋体" w:hAnsi="宋体"/>
          <w:sz w:val="30"/>
        </w:rPr>
      </w:pPr>
      <w:bookmarkStart w:id="53" w:name="_Toc86225293"/>
      <w:bookmarkStart w:id="54" w:name="_Toc86737931"/>
      <w:bookmarkStart w:id="55" w:name="_Toc118972650"/>
      <w:bookmarkStart w:id="56" w:name="_Toc86726441"/>
      <w:bookmarkStart w:id="57" w:name="_Toc84234389"/>
      <w:bookmarkStart w:id="58" w:name="_Toc86223244"/>
      <w:bookmarkStart w:id="59" w:name="_Toc89163370"/>
      <w:bookmarkStart w:id="60" w:name="_Toc84133787"/>
      <w:bookmarkStart w:id="61" w:name="_Toc118774805"/>
      <w:bookmarkStart w:id="62" w:name="_Toc110830494"/>
      <w:bookmarkStart w:id="63" w:name="_Toc119402712"/>
      <w:bookmarkStart w:id="64" w:name="_Toc86204790"/>
      <w:bookmarkStart w:id="65" w:name="_Toc110761798"/>
      <w:bookmarkStart w:id="66" w:name="_Toc120435785"/>
      <w:bookmarkStart w:id="67" w:name="_Toc84234436"/>
      <w:bookmarkStart w:id="68" w:name="_Toc108512360"/>
      <w:bookmarkStart w:id="69" w:name="_Toc86649724"/>
      <w:bookmarkStart w:id="70" w:name="_Toc86727357"/>
      <w:bookmarkStart w:id="71" w:name="_Toc124325890"/>
      <w:bookmarkStart w:id="72" w:name="_Toc110765662"/>
      <w:bookmarkStart w:id="73" w:name="_Toc118212952"/>
      <w:r>
        <w:rPr>
          <w:rFonts w:ascii="宋体" w:eastAsia="宋体" w:hAnsi="宋体" w:hint="eastAsia"/>
          <w:sz w:val="30"/>
        </w:rPr>
        <w:t>六、指令的发送、确认及执行</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66AD99D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基金管理人在运用基金财产时向基金托管人发送资金划拨及其他款项付款指</w:t>
      </w:r>
      <w:r>
        <w:rPr>
          <w:rFonts w:ascii="宋体" w:hAnsi="宋体" w:cs="Arial" w:hint="eastAsia"/>
          <w:sz w:val="24"/>
        </w:rPr>
        <w:lastRenderedPageBreak/>
        <w:t>令，基金托管人执行基金管理人的指令、办理基金名下的资金往来等有关事项。</w:t>
      </w:r>
    </w:p>
    <w:p w14:paraId="2CF4E91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（一）基金管理人对发送指令人员的书面授权</w:t>
      </w:r>
    </w:p>
    <w:p w14:paraId="4A9DD79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1.基金管理人应指定专人向基金托管人发送指令。</w:t>
      </w:r>
    </w:p>
    <w:p w14:paraId="246582D8"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2.基金管理人应向基金托管人提供书面授权文件原件，内容包括被授权人名单、预留印鉴及被授权人签字样本，授权文件应注明被授权人相应的权限, 并加盖单位公章。</w:t>
      </w:r>
    </w:p>
    <w:p w14:paraId="6559660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前述时间，则以基金托管人收到授权文件并经电话确认的时点为授权文件的生效时间。</w:t>
      </w:r>
    </w:p>
    <w:p w14:paraId="31ABA79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4.基金管理人和基金托管人对授权文件负有保密义务，其内容不得向被授权人及相关操作人员以外的任何人泄露。但法律法规规定或有权机关要求的除外。</w:t>
      </w:r>
    </w:p>
    <w:p w14:paraId="2148C9D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（二）指令的内容</w:t>
      </w:r>
    </w:p>
    <w:p w14:paraId="0073CDE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1.指令包括付款指令以及其他资金划拨指令等。</w:t>
      </w:r>
    </w:p>
    <w:p w14:paraId="75AE71A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2.基金管理人发给基金托管人的指令应写明款项事由、支付时间、到账时间、金额、收付款账户等，加盖预留印鉴并由被授权人签字。</w:t>
      </w:r>
    </w:p>
    <w:p w14:paraId="404BEF7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（三）指令的发送、确认及执行的时间和程序</w:t>
      </w:r>
    </w:p>
    <w:p w14:paraId="3C2F542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1.指令的发送</w:t>
      </w:r>
    </w:p>
    <w:p w14:paraId="7EBCD39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基金管理人发送指令应采用传真方式或双方协商一致的其他方式。</w:t>
      </w:r>
    </w:p>
    <w:p w14:paraId="2D0DCC6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5684E96"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指令发出后，基金管理人应及时以电话方式向基金托管人确认。</w:t>
      </w:r>
    </w:p>
    <w:p w14:paraId="0D9B93EE" w14:textId="77777777" w:rsidR="00353BD1" w:rsidRDefault="00064D22">
      <w:pPr>
        <w:adjustRightInd w:val="0"/>
        <w:snapToGrid w:val="0"/>
        <w:spacing w:line="360" w:lineRule="auto"/>
        <w:ind w:firstLine="480"/>
        <w:rPr>
          <w:rFonts w:ascii="宋体" w:hAnsi="宋体" w:cs="Arial"/>
          <w:sz w:val="24"/>
        </w:rPr>
      </w:pPr>
      <w:r>
        <w:rPr>
          <w:rFonts w:ascii="宋体"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486D73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lastRenderedPageBreak/>
        <w:t>2.指令的确认</w:t>
      </w:r>
    </w:p>
    <w:p w14:paraId="63FB5D4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D374AA2"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3.指令的时间和执行</w:t>
      </w:r>
    </w:p>
    <w:p w14:paraId="0D3705C4" w14:textId="77777777" w:rsidR="00353BD1" w:rsidRDefault="00064D22">
      <w:pPr>
        <w:pStyle w:val="a6"/>
        <w:spacing w:line="360" w:lineRule="auto"/>
        <w:ind w:firstLineChars="0"/>
        <w:rPr>
          <w:rFonts w:ascii="宋体" w:eastAsia="宋体" w:hAnsi="宋体" w:cs="Arial"/>
          <w:szCs w:val="24"/>
          <w:shd w:val="pct10" w:color="auto" w:fill="FFFFFF"/>
        </w:rPr>
      </w:pPr>
      <w:r>
        <w:rPr>
          <w:rFonts w:ascii="宋体" w:eastAsia="宋体"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宋体" w:eastAsia="宋体" w:hAnsi="宋体" w:cs="Arial" w:hint="eastAsia"/>
          <w:szCs w:val="24"/>
        </w:rPr>
        <w:t>基金管理人应确保基金托管人在执行指令时，基金托管资金账户有足够的资金余额，</w:t>
      </w:r>
      <w:r>
        <w:rPr>
          <w:rFonts w:ascii="宋体" w:eastAsia="宋体" w:hAnsi="宋体" w:cs="Arial" w:hint="eastAsia"/>
        </w:rPr>
        <w:t>在基金资金头寸充足的情况下，基金托管人对基金管理人符合法律法规、《基金合同》、本协议的指令不得拖延或拒绝执行。</w:t>
      </w:r>
    </w:p>
    <w:p w14:paraId="12E4ECAC" w14:textId="77777777" w:rsidR="00353BD1" w:rsidRDefault="00064D22">
      <w:pPr>
        <w:pStyle w:val="a6"/>
        <w:spacing w:line="360" w:lineRule="auto"/>
        <w:ind w:firstLineChars="0"/>
        <w:rPr>
          <w:rFonts w:ascii="宋体" w:eastAsia="宋体" w:hAnsi="宋体" w:cs="Arial"/>
        </w:rPr>
      </w:pPr>
      <w:r>
        <w:rPr>
          <w:rFonts w:ascii="宋体" w:eastAsia="宋体" w:hAnsi="宋体" w:cs="Arial" w:hint="eastAsia"/>
        </w:rPr>
        <w:t>（四）基金管理人发送错误指令的情形和处理程序</w:t>
      </w:r>
    </w:p>
    <w:p w14:paraId="73584C5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基金管理人发送错误指令的情形包括指令违反法律法规、监管规定、《基金合同》或本协议的约定，或指令发送人员无权或超越权限发送指令。</w:t>
      </w:r>
    </w:p>
    <w:p w14:paraId="1D7669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基金托管人发现基金管理人的指令错误时，有权拒绝执行，并及时通知基金管理人改正。如需托管人撤销尚未执行的指令，基金管理人应出具作废指令或作废说明，并电话通知托管人。</w:t>
      </w:r>
    </w:p>
    <w:p w14:paraId="62B536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（五）基金托管人未按照基金管理人指令执行的处理方法</w:t>
      </w:r>
    </w:p>
    <w:p w14:paraId="5CF505E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宋体" w:hAnsi="宋体" w:hint="eastAsia"/>
          <w:sz w:val="24"/>
        </w:rPr>
        <w:t>赔偿由此造成的直接损失。</w:t>
      </w:r>
    </w:p>
    <w:p w14:paraId="3EF04BC1"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（六）更换被授权人员的程序</w:t>
      </w:r>
    </w:p>
    <w:p w14:paraId="239706FA"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管理人更换被授权人、更改或终止对被授权人的授权，应立即将加盖公章的新的授权文件以邮件发送扫描件的方式通知基金托管人，并经电话确认后生效，原授权文件同时废止。新的授权文件应当在邮件发出后七个工作日内送达托管人</w:t>
      </w:r>
      <w:r>
        <w:rPr>
          <w:rFonts w:ascii="宋体" w:hAnsi="宋体" w:cs="Arial" w:hint="eastAsia"/>
          <w:sz w:val="24"/>
        </w:rPr>
        <w:lastRenderedPageBreak/>
        <w:t>文件正本。新的授权文件生效之后，正本送达之前，基金托管人按照新的授权文件扫描件内容执行有关业务，如果新的授权文件正本与扫描件内容不同，由此产生的责任由基金管理人承担</w:t>
      </w:r>
      <w:r>
        <w:rPr>
          <w:rFonts w:ascii="宋体" w:hAnsi="宋体" w:hint="eastAsia"/>
          <w:sz w:val="24"/>
        </w:rPr>
        <w:t>。</w:t>
      </w:r>
      <w:r>
        <w:rPr>
          <w:rFonts w:ascii="宋体" w:hAnsi="宋体" w:cs="Arial" w:hint="eastAsia"/>
          <w:sz w:val="24"/>
        </w:rPr>
        <w:t>基金托管人更换接受基金管理人指令的传真号或邮箱地址，应提前通知基金管理人。</w:t>
      </w:r>
    </w:p>
    <w:p w14:paraId="73F372D1"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（七）其他事项</w:t>
      </w:r>
    </w:p>
    <w:p w14:paraId="5D88BF8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622769D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D143CDE" w14:textId="77777777" w:rsidR="00353BD1" w:rsidRDefault="00353BD1">
      <w:pPr>
        <w:adjustRightInd w:val="0"/>
        <w:snapToGrid w:val="0"/>
        <w:spacing w:line="360" w:lineRule="auto"/>
        <w:rPr>
          <w:rFonts w:ascii="宋体" w:hAnsi="宋体" w:cs="Arial"/>
          <w:sz w:val="24"/>
        </w:rPr>
      </w:pPr>
    </w:p>
    <w:p w14:paraId="2C6FC95F" w14:textId="77777777" w:rsidR="00353BD1" w:rsidRDefault="00064D22">
      <w:pPr>
        <w:pStyle w:val="2"/>
        <w:spacing w:line="360" w:lineRule="auto"/>
        <w:jc w:val="center"/>
        <w:rPr>
          <w:rFonts w:ascii="宋体" w:eastAsia="宋体" w:hAnsi="宋体"/>
          <w:sz w:val="30"/>
        </w:rPr>
      </w:pPr>
      <w:bookmarkStart w:id="74" w:name="_Toc124325891"/>
      <w:bookmarkStart w:id="75" w:name="_Toc86223245"/>
      <w:bookmarkStart w:id="76" w:name="_Toc84234437"/>
      <w:bookmarkStart w:id="77" w:name="_Toc86649725"/>
      <w:bookmarkStart w:id="78" w:name="_Toc86727358"/>
      <w:bookmarkStart w:id="79" w:name="_Toc118972651"/>
      <w:bookmarkStart w:id="80" w:name="_Toc120435786"/>
      <w:bookmarkStart w:id="81" w:name="_Toc110830495"/>
      <w:bookmarkStart w:id="82" w:name="_Toc108512361"/>
      <w:bookmarkStart w:id="83" w:name="_Toc86204791"/>
      <w:bookmarkStart w:id="84" w:name="_Toc86737932"/>
      <w:bookmarkStart w:id="85" w:name="_Toc84133788"/>
      <w:bookmarkStart w:id="86" w:name="_Toc110765663"/>
      <w:bookmarkStart w:id="87" w:name="_Toc110761799"/>
      <w:bookmarkStart w:id="88" w:name="_Toc86726442"/>
      <w:bookmarkStart w:id="89" w:name="_Toc119402713"/>
      <w:bookmarkStart w:id="90" w:name="_Toc89163371"/>
      <w:bookmarkStart w:id="91" w:name="_Toc86225294"/>
      <w:bookmarkStart w:id="92" w:name="_Toc118212953"/>
      <w:bookmarkStart w:id="93" w:name="_Toc118774806"/>
      <w:bookmarkStart w:id="94" w:name="_Toc84234390"/>
      <w:r>
        <w:rPr>
          <w:rFonts w:ascii="宋体" w:eastAsia="宋体" w:hAnsi="宋体" w:hint="eastAsia"/>
          <w:sz w:val="30"/>
        </w:rPr>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78D083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hint="eastAsia"/>
          <w:sz w:val="24"/>
        </w:rPr>
        <w:t>本产品参与交易所场内证券投资，采取托管人结算模式，</w:t>
      </w:r>
      <w:r>
        <w:rPr>
          <w:rFonts w:ascii="宋体" w:hAnsi="宋体" w:hint="eastAsia"/>
          <w:bCs/>
          <w:sz w:val="24"/>
        </w:rPr>
        <w:t>基金管理人与基金托管人应根据有关法律法规及相关业务规则，签订《托管银行证券资金结算协议》用</w:t>
      </w:r>
      <w:r>
        <w:rPr>
          <w:rFonts w:ascii="宋体" w:hAnsi="宋体" w:cs="Arial" w:hint="eastAsia"/>
          <w:sz w:val="24"/>
        </w:rPr>
        <w:t>以具体明确基金管理人与基金托管人在证券交易资金结算（含港股通）业务中的程序与责任。协议签署前，基金管理人应按基金托管人要求配合提供相应准入材料。</w:t>
      </w:r>
    </w:p>
    <w:p w14:paraId="58821E5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（一）选择证券买卖的证券经营机构</w:t>
      </w:r>
    </w:p>
    <w:p w14:paraId="12D2FE6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E925214" w14:textId="1DD174CC"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（二）基金投资证券后的清算交收安排</w:t>
      </w:r>
    </w:p>
    <w:p w14:paraId="5E63BA2E"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1.结算备付金与保证金</w:t>
      </w:r>
    </w:p>
    <w:p w14:paraId="32EA6CA6" w14:textId="77777777" w:rsidR="00353BD1" w:rsidRDefault="00064D22">
      <w:pPr>
        <w:spacing w:line="360" w:lineRule="auto"/>
        <w:ind w:firstLineChars="200" w:firstLine="480"/>
        <w:rPr>
          <w:rFonts w:ascii="宋体" w:hAnsi="宋体"/>
          <w:bCs/>
          <w:sz w:val="24"/>
        </w:rPr>
      </w:pPr>
      <w:r>
        <w:rPr>
          <w:rFonts w:ascii="宋体" w:hAnsi="宋体" w:hint="eastAsia"/>
          <w:bCs/>
          <w:sz w:val="24"/>
        </w:rPr>
        <w:t>中国证券登记结算有限责任公司分别于每月前</w:t>
      </w:r>
      <w:r>
        <w:rPr>
          <w:rFonts w:ascii="宋体" w:hAnsi="宋体"/>
          <w:bCs/>
          <w:sz w:val="24"/>
        </w:rPr>
        <w:t>6个交易日</w:t>
      </w:r>
      <w:r>
        <w:rPr>
          <w:rFonts w:ascii="宋体" w:hAnsi="宋体" w:hint="eastAsia"/>
          <w:bCs/>
          <w:sz w:val="24"/>
        </w:rPr>
        <w:t>及每月前</w:t>
      </w:r>
      <w:r>
        <w:rPr>
          <w:rFonts w:ascii="宋体" w:hAnsi="宋体"/>
          <w:bCs/>
          <w:sz w:val="24"/>
        </w:rPr>
        <w:t>3个交易</w:t>
      </w:r>
      <w:r>
        <w:rPr>
          <w:rFonts w:ascii="宋体" w:hAnsi="宋体"/>
          <w:bCs/>
          <w:sz w:val="24"/>
        </w:rPr>
        <w:lastRenderedPageBreak/>
        <w:t>日内，对结算参与人最低备付金限额与结算保证金限额进行重新核算、调整。基金托管人</w:t>
      </w:r>
      <w:r>
        <w:rPr>
          <w:rFonts w:ascii="宋体" w:hAnsi="宋体" w:hint="eastAsia"/>
          <w:bCs/>
          <w:sz w:val="24"/>
        </w:rPr>
        <w:t>应分别于每月前</w:t>
      </w:r>
      <w:r>
        <w:rPr>
          <w:rFonts w:ascii="宋体" w:hAnsi="宋体"/>
          <w:bCs/>
          <w:sz w:val="24"/>
        </w:rPr>
        <w:t>3个交易日内及结算保证金调整当日通过《资金账户报告》通知基金管理人</w:t>
      </w:r>
      <w:r>
        <w:rPr>
          <w:rFonts w:ascii="宋体" w:hAnsi="宋体" w:hint="eastAsia"/>
          <w:bCs/>
          <w:sz w:val="24"/>
        </w:rPr>
        <w:t>本基金最低备付金调整金额以及调整后的结算保证金金额。</w:t>
      </w:r>
      <w:r>
        <w:rPr>
          <w:rFonts w:ascii="宋体" w:hAnsi="宋体" w:hint="eastAsia"/>
          <w:sz w:val="24"/>
        </w:rPr>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6656F265" w14:textId="77777777" w:rsidR="00353BD1" w:rsidRDefault="00064D22">
      <w:pPr>
        <w:spacing w:line="360" w:lineRule="auto"/>
        <w:ind w:firstLineChars="200" w:firstLine="480"/>
        <w:rPr>
          <w:rFonts w:ascii="宋体" w:hAnsi="宋体"/>
          <w:sz w:val="24"/>
        </w:rPr>
      </w:pPr>
      <w:r>
        <w:rPr>
          <w:rFonts w:ascii="宋体" w:hAnsi="宋体" w:hint="eastAsia"/>
          <w:sz w:val="24"/>
        </w:rPr>
        <w:t>（</w:t>
      </w:r>
      <w:r>
        <w:rPr>
          <w:rFonts w:ascii="宋体" w:hAnsi="宋体"/>
          <w:sz w:val="24"/>
        </w:rPr>
        <w:t>1）固定备付金比例</w:t>
      </w:r>
      <w:r>
        <w:rPr>
          <w:rFonts w:ascii="宋体" w:hAnsi="宋体" w:hint="eastAsia"/>
          <w:sz w:val="24"/>
        </w:rPr>
        <w:t>计收方式下，基金管理人应在调整最低备付金、结算保证金当日上午</w:t>
      </w:r>
      <w:r>
        <w:rPr>
          <w:rFonts w:ascii="宋体" w:hAnsi="宋体"/>
          <w:sz w:val="24"/>
        </w:rPr>
        <w:t>11</w:t>
      </w:r>
      <w:r>
        <w:rPr>
          <w:rFonts w:ascii="宋体" w:hAnsi="宋体" w:hint="eastAsia"/>
          <w:sz w:val="24"/>
        </w:rPr>
        <w:t>：</w:t>
      </w:r>
      <w:r>
        <w:rPr>
          <w:rFonts w:ascii="宋体" w:hAnsi="宋体"/>
          <w:sz w:val="24"/>
        </w:rPr>
        <w:t>00之前补足</w:t>
      </w:r>
      <w:r>
        <w:rPr>
          <w:rFonts w:ascii="宋体" w:hAnsi="宋体" w:hint="eastAsia"/>
          <w:sz w:val="24"/>
        </w:rPr>
        <w:t>金额。</w:t>
      </w:r>
    </w:p>
    <w:p w14:paraId="309E0195" w14:textId="77777777" w:rsidR="00353BD1" w:rsidRDefault="00064D22">
      <w:pPr>
        <w:spacing w:line="360" w:lineRule="auto"/>
        <w:ind w:firstLineChars="200" w:firstLine="480"/>
        <w:rPr>
          <w:rFonts w:ascii="宋体" w:hAnsi="宋体" w:cs="Arial"/>
          <w:sz w:val="24"/>
        </w:rPr>
      </w:pPr>
      <w:r>
        <w:rPr>
          <w:rFonts w:ascii="宋体" w:hAnsi="宋体" w:hint="eastAsia"/>
          <w:sz w:val="24"/>
        </w:rPr>
        <w:t>（</w:t>
      </w:r>
      <w:r>
        <w:rPr>
          <w:rFonts w:ascii="宋体" w:hAnsi="宋体"/>
          <w:sz w:val="24"/>
        </w:rPr>
        <w:t>2）差异化备付金比例</w:t>
      </w:r>
      <w:r>
        <w:rPr>
          <w:rFonts w:ascii="宋体" w:hAnsi="宋体" w:hint="eastAsia"/>
          <w:sz w:val="24"/>
        </w:rPr>
        <w:t>计收方式下，基金管理人应最晚于资金交收日上午</w:t>
      </w:r>
      <w:r>
        <w:rPr>
          <w:rFonts w:ascii="宋体" w:hAnsi="宋体"/>
          <w:sz w:val="24"/>
        </w:rPr>
        <w:t>8：30前补足金额</w:t>
      </w:r>
      <w:r>
        <w:rPr>
          <w:rFonts w:ascii="宋体" w:hAnsi="宋体" w:hint="eastAsia"/>
          <w:sz w:val="24"/>
        </w:rPr>
        <w:t>。</w:t>
      </w:r>
    </w:p>
    <w:p w14:paraId="38AF7264" w14:textId="77777777" w:rsidR="00353BD1" w:rsidRDefault="00064D22">
      <w:pPr>
        <w:adjustRightInd w:val="0"/>
        <w:snapToGrid w:val="0"/>
        <w:spacing w:line="360" w:lineRule="auto"/>
        <w:ind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清算交收</w:t>
      </w:r>
    </w:p>
    <w:p w14:paraId="3DC4482F"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E121575"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不承担任何责任；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通知基金管理人预透支和预欠库事项</w:t>
      </w:r>
      <w:r>
        <w:rPr>
          <w:rFonts w:ascii="宋体" w:hAnsi="宋体" w:hint="eastAsia"/>
          <w:color w:val="000000"/>
        </w:rPr>
        <w:t>，</w:t>
      </w:r>
      <w:r>
        <w:rPr>
          <w:rFonts w:ascii="宋体" w:hAnsi="宋体" w:cs="Arial" w:hint="eastAsia"/>
          <w:sz w:val="24"/>
        </w:rPr>
        <w:t>基金管理人应保持联系方式畅通，后续补缴等事宜由基金管理人负责解决，由此给基金托管人、本基金和基金托管人托管的其他资产造成的直接损失由基金管理人承担。</w:t>
      </w:r>
    </w:p>
    <w:p w14:paraId="06CDEFF1" w14:textId="77777777" w:rsidR="00353BD1" w:rsidRDefault="00064D22">
      <w:pPr>
        <w:spacing w:line="360" w:lineRule="auto"/>
        <w:ind w:firstLineChars="200" w:firstLine="480"/>
        <w:rPr>
          <w:rFonts w:ascii="宋体" w:hAnsi="宋体"/>
          <w:sz w:val="24"/>
        </w:rPr>
      </w:pPr>
      <w:r>
        <w:rPr>
          <w:rFonts w:ascii="宋体" w:hAnsi="宋体" w:cs="宋体" w:hint="eastAsia"/>
          <w:color w:val="000000"/>
          <w:kern w:val="0"/>
          <w:sz w:val="24"/>
        </w:rPr>
        <w:t>基金管理人应采取合理、必要措施，确保T日日终有足够的资金头寸完成 T+1日</w:t>
      </w:r>
      <w:r>
        <w:rPr>
          <w:rFonts w:ascii="宋体" w:hAnsi="宋体" w:hint="eastAsia"/>
          <w:sz w:val="24"/>
        </w:rPr>
        <w:t>中国证券登记结算有限责任公司的资金</w:t>
      </w:r>
      <w:r>
        <w:rPr>
          <w:rFonts w:ascii="宋体" w:hAnsi="宋体" w:cs="宋体" w:hint="eastAsia"/>
          <w:color w:val="000000"/>
          <w:kern w:val="0"/>
          <w:sz w:val="24"/>
        </w:rPr>
        <w:t>交收；如因基金管理人原因导致资金头寸不足，基金管理人应</w:t>
      </w:r>
      <w:r>
        <w:rPr>
          <w:rFonts w:ascii="宋体" w:hAnsi="宋体" w:hint="eastAsia"/>
          <w:sz w:val="24"/>
        </w:rPr>
        <w:t>视基金托管</w:t>
      </w:r>
      <w:r>
        <w:rPr>
          <w:rFonts w:ascii="宋体" w:hAnsi="宋体"/>
          <w:sz w:val="24"/>
        </w:rPr>
        <w:t>人</w:t>
      </w:r>
      <w:r>
        <w:rPr>
          <w:rFonts w:ascii="宋体" w:hAnsi="宋体" w:hint="eastAsia"/>
          <w:sz w:val="24"/>
        </w:rPr>
        <w:t>最低结算备付金比例计收方式分别于下列时点补足透支金额：</w:t>
      </w:r>
    </w:p>
    <w:p w14:paraId="257A9A23" w14:textId="77777777" w:rsidR="00353BD1" w:rsidRDefault="00064D22">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1）固定备付金比例计收方式下，</w:t>
      </w:r>
      <w:r>
        <w:rPr>
          <w:rFonts w:ascii="宋体" w:hAnsi="宋体" w:hint="eastAsia"/>
          <w:sz w:val="24"/>
        </w:rPr>
        <w:t>基金</w:t>
      </w:r>
      <w:r>
        <w:rPr>
          <w:rFonts w:ascii="宋体" w:hAnsi="宋体"/>
          <w:sz w:val="24"/>
        </w:rPr>
        <w:t>管理人应</w:t>
      </w:r>
      <w:r>
        <w:rPr>
          <w:rFonts w:ascii="宋体" w:hAnsi="宋体" w:hint="eastAsia"/>
          <w:sz w:val="24"/>
        </w:rPr>
        <w:t>最晚于资金交收日上午</w:t>
      </w:r>
      <w:r>
        <w:rPr>
          <w:rFonts w:ascii="宋体" w:hAnsi="宋体"/>
          <w:sz w:val="24"/>
        </w:rPr>
        <w:t>11</w:t>
      </w:r>
      <w:r>
        <w:rPr>
          <w:rFonts w:ascii="宋体" w:hAnsi="宋体" w:hint="eastAsia"/>
          <w:sz w:val="24"/>
        </w:rPr>
        <w:t>：</w:t>
      </w:r>
      <w:r>
        <w:rPr>
          <w:rFonts w:ascii="宋体" w:hAnsi="宋体"/>
          <w:sz w:val="24"/>
        </w:rPr>
        <w:t>00前补足金额。</w:t>
      </w:r>
    </w:p>
    <w:p w14:paraId="6B780349" w14:textId="77777777" w:rsidR="00353BD1" w:rsidRDefault="00064D22">
      <w:pPr>
        <w:adjustRightInd w:val="0"/>
        <w:snapToGrid w:val="0"/>
        <w:spacing w:line="360" w:lineRule="auto"/>
        <w:ind w:firstLine="480"/>
        <w:rPr>
          <w:rFonts w:ascii="宋体" w:hAnsi="宋体" w:cs="宋体"/>
          <w:color w:val="000000"/>
          <w:kern w:val="0"/>
          <w:sz w:val="24"/>
        </w:rPr>
      </w:pPr>
      <w:r>
        <w:rPr>
          <w:rFonts w:ascii="宋体" w:hAnsi="宋体" w:hint="eastAsia"/>
          <w:sz w:val="24"/>
        </w:rPr>
        <w:t>（</w:t>
      </w:r>
      <w:r>
        <w:rPr>
          <w:rFonts w:ascii="宋体" w:hAnsi="宋体"/>
          <w:sz w:val="24"/>
        </w:rPr>
        <w:t>2）差异化备付金比例计收方式下，</w:t>
      </w:r>
      <w:r>
        <w:rPr>
          <w:rFonts w:ascii="宋体" w:hAnsi="宋体" w:hint="eastAsia"/>
          <w:sz w:val="24"/>
        </w:rPr>
        <w:t>基金</w:t>
      </w:r>
      <w:r>
        <w:rPr>
          <w:rFonts w:ascii="宋体" w:hAnsi="宋体"/>
          <w:sz w:val="24"/>
        </w:rPr>
        <w:t>管理人应最晚于资金交收日</w:t>
      </w:r>
      <w:r>
        <w:rPr>
          <w:rFonts w:ascii="宋体" w:hAnsi="宋体" w:hint="eastAsia"/>
          <w:sz w:val="24"/>
        </w:rPr>
        <w:t>上午</w:t>
      </w:r>
      <w:r>
        <w:rPr>
          <w:rFonts w:ascii="宋体" w:hAnsi="宋体"/>
          <w:sz w:val="24"/>
        </w:rPr>
        <w:t>8：30前补足金额</w:t>
      </w:r>
      <w:r>
        <w:rPr>
          <w:rFonts w:ascii="宋体" w:hAnsi="宋体" w:cs="宋体" w:hint="eastAsia"/>
          <w:color w:val="000000"/>
          <w:kern w:val="0"/>
          <w:sz w:val="24"/>
        </w:rPr>
        <w:t>。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622E7CD" w14:textId="77777777" w:rsidR="00353BD1" w:rsidRDefault="00064D22">
      <w:pPr>
        <w:adjustRightInd w:val="0"/>
        <w:snapToGrid w:val="0"/>
        <w:spacing w:line="360" w:lineRule="auto"/>
        <w:ind w:firstLineChars="200" w:firstLine="480"/>
        <w:rPr>
          <w:rFonts w:ascii="宋体" w:hAnsi="宋体"/>
          <w:sz w:val="24"/>
        </w:rPr>
      </w:pPr>
      <w:r>
        <w:rPr>
          <w:rFonts w:ascii="宋体" w:hAnsi="宋体" w:cs="宋体" w:hint="eastAsia"/>
          <w:color w:val="000000"/>
          <w:kern w:val="0"/>
          <w:sz w:val="24"/>
        </w:rPr>
        <w:t>根据中国证券登记结算有限责任公司结算规定，基金管理人在进行融资回购业务时</w:t>
      </w:r>
      <w:r>
        <w:rPr>
          <w:rFonts w:ascii="宋体" w:hAnsi="宋体" w:hint="eastAsia"/>
          <w:sz w:val="24"/>
        </w:rPr>
        <w:t>，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4238D0C"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对于中国证券登记结算有限责任公司实行</w:t>
      </w:r>
      <w:r>
        <w:rPr>
          <w:rFonts w:ascii="宋体" w:hAnsi="宋体"/>
          <w:sz w:val="24"/>
        </w:rPr>
        <w:t>T+0</w:t>
      </w:r>
      <w:r>
        <w:rPr>
          <w:rFonts w:ascii="宋体" w:hAnsi="宋体" w:hint="eastAsia"/>
          <w:sz w:val="24"/>
        </w:rPr>
        <w:t>非担保交收的业务，基金管理人应在交易日</w:t>
      </w:r>
      <w:r>
        <w:rPr>
          <w:rFonts w:ascii="宋体" w:hAnsi="宋体"/>
          <w:sz w:val="24"/>
        </w:rPr>
        <w:t>14:00前将划款指令发送至</w:t>
      </w:r>
      <w:r>
        <w:rPr>
          <w:rFonts w:ascii="宋体" w:hAnsi="宋体" w:hint="eastAsia"/>
          <w:sz w:val="24"/>
        </w:rPr>
        <w:t>基金托管人</w:t>
      </w:r>
      <w:r>
        <w:rPr>
          <w:rFonts w:ascii="宋体" w:hAnsi="宋体"/>
          <w:sz w:val="24"/>
        </w:rPr>
        <w:t>。因</w:t>
      </w:r>
      <w:r>
        <w:rPr>
          <w:rFonts w:ascii="宋体" w:hAnsi="宋体" w:hint="eastAsia"/>
          <w:sz w:val="24"/>
        </w:rPr>
        <w:t>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52E6DCA6" w14:textId="77777777" w:rsidR="00353BD1" w:rsidRDefault="00064D22">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.交易记录、资金和证券账目核对的时间和方式</w:t>
      </w:r>
    </w:p>
    <w:p w14:paraId="7DABBD98" w14:textId="77777777" w:rsidR="00353BD1" w:rsidRDefault="00064D22">
      <w:pPr>
        <w:adjustRightInd w:val="0"/>
        <w:snapToGrid w:val="0"/>
        <w:spacing w:line="360" w:lineRule="auto"/>
        <w:ind w:firstLineChars="200" w:firstLine="480"/>
        <w:rPr>
          <w:rFonts w:ascii="宋体" w:hAnsi="宋体"/>
          <w:sz w:val="24"/>
        </w:rPr>
      </w:pPr>
      <w:r>
        <w:rPr>
          <w:rFonts w:ascii="宋体" w:hAnsi="宋体" w:hint="eastAsia"/>
          <w:sz w:val="24"/>
        </w:rPr>
        <w:t>（1）交易记录的核对</w:t>
      </w:r>
    </w:p>
    <w:p w14:paraId="409562A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hint="eastAsia"/>
          <w:sz w:val="24"/>
        </w:rPr>
        <w:t>基金管理人按日进行交易记录的核对。每日对外披露净值之前，必须保证当天所有实际交易记录与基金会计</w:t>
      </w:r>
      <w:r>
        <w:rPr>
          <w:rFonts w:ascii="宋体" w:hAnsi="宋体" w:hint="eastAsia"/>
          <w:kern w:val="0"/>
          <w:sz w:val="24"/>
        </w:rPr>
        <w:t>账簿上的交易记录完全一致。如果实际交易记录与会计账簿记录不一致，造成基金会计核算不完整或不真实，由此导致的损失由基金管理人承担。</w:t>
      </w:r>
    </w:p>
    <w:p w14:paraId="3DF5C8C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（2）资金账目的核对</w:t>
      </w:r>
    </w:p>
    <w:p w14:paraId="192451A9"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资金账目按日核实。</w:t>
      </w:r>
    </w:p>
    <w:p w14:paraId="215D924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（3）证券账目的核对</w:t>
      </w:r>
    </w:p>
    <w:p w14:paraId="1DC20F2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基金管理人和基金托管人每个估值日结束后核对基金证券账目，确保双方账目相符。</w:t>
      </w:r>
    </w:p>
    <w:p w14:paraId="38CD1993" w14:textId="7F0067D9"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w:t>
      </w:r>
      <w:r w:rsidR="00DB5018">
        <w:rPr>
          <w:rFonts w:ascii="宋体" w:hAnsi="宋体" w:cs="Arial" w:hint="eastAsia"/>
          <w:sz w:val="24"/>
        </w:rPr>
        <w:t>三</w:t>
      </w:r>
      <w:r>
        <w:rPr>
          <w:rFonts w:ascii="宋体" w:hAnsi="宋体" w:cs="Arial" w:hint="eastAsia"/>
          <w:sz w:val="24"/>
        </w:rPr>
        <w:t>）基金申购</w:t>
      </w:r>
      <w:r w:rsidR="0090389A">
        <w:rPr>
          <w:rFonts w:ascii="宋体" w:hAnsi="宋体" w:cs="Arial" w:hint="eastAsia"/>
          <w:sz w:val="24"/>
        </w:rPr>
        <w:t>、</w:t>
      </w:r>
      <w:r>
        <w:rPr>
          <w:rFonts w:ascii="宋体" w:hAnsi="宋体" w:cs="Arial" w:hint="eastAsia"/>
          <w:sz w:val="24"/>
        </w:rPr>
        <w:t>赎回</w:t>
      </w:r>
      <w:r w:rsidR="0090389A">
        <w:rPr>
          <w:rFonts w:ascii="宋体" w:hAnsi="宋体" w:cs="Arial" w:hint="eastAsia"/>
          <w:sz w:val="24"/>
        </w:rPr>
        <w:t>、转换</w:t>
      </w:r>
      <w:r>
        <w:rPr>
          <w:rFonts w:ascii="宋体" w:hAnsi="宋体" w:cs="Arial" w:hint="eastAsia"/>
          <w:sz w:val="24"/>
        </w:rPr>
        <w:t>业务处理的基本规定</w:t>
      </w:r>
    </w:p>
    <w:p w14:paraId="2F5AE948" w14:textId="1840B84B"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1.基金份额申购、赎回</w:t>
      </w:r>
      <w:r w:rsidR="0090389A">
        <w:rPr>
          <w:rFonts w:ascii="宋体" w:hAnsi="宋体" w:cs="Arial" w:hint="eastAsia"/>
          <w:sz w:val="24"/>
        </w:rPr>
        <w:t>、转换</w:t>
      </w:r>
      <w:r>
        <w:rPr>
          <w:rFonts w:ascii="宋体" w:hAnsi="宋体" w:cs="Arial" w:hint="eastAsia"/>
          <w:sz w:val="24"/>
        </w:rPr>
        <w:t>的确认、清算由基金管理人或其委托的注册登记</w:t>
      </w:r>
      <w:r>
        <w:rPr>
          <w:rFonts w:ascii="宋体" w:hAnsi="宋体" w:cs="Arial" w:hint="eastAsia"/>
          <w:sz w:val="24"/>
        </w:rPr>
        <w:lastRenderedPageBreak/>
        <w:t>机构负责。</w:t>
      </w:r>
    </w:p>
    <w:p w14:paraId="4DB43091" w14:textId="1A270A35"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2.基金管理人应将每个开放日的申购、赎回、转换开放式基金的数据传送给基金托管人。基金管理人应对传递的申购、赎回、转换开放式基金的数据真实性负责。基金托管人应及时查收</w:t>
      </w:r>
      <w:r w:rsidR="0090389A">
        <w:rPr>
          <w:rFonts w:ascii="宋体" w:hAnsi="宋体" w:cs="Arial" w:hint="eastAsia"/>
          <w:sz w:val="24"/>
        </w:rPr>
        <w:t>净应收款</w:t>
      </w:r>
      <w:r>
        <w:rPr>
          <w:rFonts w:ascii="宋体" w:hAnsi="宋体" w:cs="Arial" w:hint="eastAsia"/>
          <w:sz w:val="24"/>
        </w:rPr>
        <w:t>的到账情况并根据基金管理人指令及时划付</w:t>
      </w:r>
      <w:r w:rsidR="0090389A">
        <w:rPr>
          <w:rFonts w:ascii="宋体" w:hAnsi="宋体" w:cs="Arial" w:hint="eastAsia"/>
          <w:sz w:val="24"/>
        </w:rPr>
        <w:t>净应付款</w:t>
      </w:r>
      <w:r>
        <w:rPr>
          <w:rFonts w:ascii="宋体" w:hAnsi="宋体" w:cs="Arial" w:hint="eastAsia"/>
          <w:sz w:val="24"/>
        </w:rPr>
        <w:t>。</w:t>
      </w:r>
    </w:p>
    <w:p w14:paraId="14B81A79" w14:textId="66BF4E98"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3.基金管理人应保证本基金（或本基金管理人委托）的注册登记机构每个工作日15:00前向基金托管人发送上述有关数据，并保证相关数据的准确、完整。</w:t>
      </w:r>
    </w:p>
    <w:p w14:paraId="75DC47BB" w14:textId="27798064"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4.注册登记机构应通过与基金托管人建立的系统发送有关数据，如因各种原因，该系统无法正常发送，双方可协商解决处理方式。基金管理人向基金托管人发送的数据，双方各自按有关规定保存。</w:t>
      </w:r>
    </w:p>
    <w:p w14:paraId="1EB8BE7B"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5.如基金管理人委托其他机构办理本基金的注册登记业务，应保证上述相关事宜按时进行。否则，由基金管理人承担相应的责任。</w:t>
      </w:r>
    </w:p>
    <w:p w14:paraId="30703DBD"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6.关于清算专用账户的设立和管理</w:t>
      </w:r>
    </w:p>
    <w:p w14:paraId="5CFD5952"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为满足申购、赎回及分红资金汇划的需要，由基金管理人开立资金清算的专用账户，该账户由注册登记机构管理。</w:t>
      </w:r>
    </w:p>
    <w:p w14:paraId="7E587A93" w14:textId="54371806"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7.对于基金申购过程中产生的应收款，应由基金管理人负责与有关当事人确定到账日期并通知基金托管人，到账日</w:t>
      </w:r>
      <w:r w:rsidR="00F64236">
        <w:rPr>
          <w:rFonts w:ascii="宋体" w:hAnsi="宋体" w:cs="Arial" w:hint="eastAsia"/>
          <w:sz w:val="24"/>
        </w:rPr>
        <w:t>净应收款</w:t>
      </w:r>
      <w:r>
        <w:rPr>
          <w:rFonts w:ascii="宋体" w:hAnsi="宋体" w:cs="Arial" w:hint="eastAsia"/>
          <w:sz w:val="24"/>
        </w:rPr>
        <w:t>没有到达基金托管资金账户的，基金托管人应及时通知基金管理人采取措施进行催收，由此造成基金损失的，基金管理人应负责向有关当事人追偿基金的损失</w:t>
      </w:r>
      <w:r w:rsidR="00E01051" w:rsidRPr="00E01051">
        <w:rPr>
          <w:rFonts w:ascii="宋体" w:hAnsi="宋体" w:cs="Arial" w:hint="eastAsia"/>
          <w:sz w:val="24"/>
        </w:rPr>
        <w:t>，基金托管人应予以必要的协助和配合</w:t>
      </w:r>
      <w:r>
        <w:rPr>
          <w:rFonts w:ascii="宋体" w:hAnsi="宋体" w:cs="Arial" w:hint="eastAsia"/>
          <w:sz w:val="24"/>
        </w:rPr>
        <w:t>。</w:t>
      </w:r>
    </w:p>
    <w:p w14:paraId="236346CD" w14:textId="7B3F4B99"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8.</w:t>
      </w:r>
      <w:r w:rsidR="00F64236" w:rsidRPr="00F64236">
        <w:rPr>
          <w:rFonts w:ascii="宋体" w:hAnsi="宋体" w:cs="Arial" w:hint="eastAsia"/>
          <w:sz w:val="24"/>
        </w:rPr>
        <w:t xml:space="preserve"> </w:t>
      </w:r>
      <w:r w:rsidR="009157E0">
        <w:rPr>
          <w:rFonts w:ascii="宋体" w:hAnsi="宋体" w:cs="Arial" w:hint="eastAsia"/>
          <w:sz w:val="24"/>
        </w:rPr>
        <w:t>净应付款</w:t>
      </w:r>
      <w:r>
        <w:rPr>
          <w:rFonts w:ascii="宋体" w:hAnsi="宋体" w:cs="Arial" w:hint="eastAsia"/>
          <w:sz w:val="24"/>
        </w:rPr>
        <w:t>和分红资金划拨规定</w:t>
      </w:r>
    </w:p>
    <w:p w14:paraId="329FE171" w14:textId="4179A121"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拨付</w:t>
      </w:r>
      <w:r w:rsidR="009157E0">
        <w:rPr>
          <w:rFonts w:ascii="宋体" w:hAnsi="宋体" w:cs="Arial" w:hint="eastAsia"/>
          <w:sz w:val="24"/>
        </w:rPr>
        <w:t>净应付款</w:t>
      </w:r>
      <w:r>
        <w:rPr>
          <w:rFonts w:ascii="宋体" w:hAnsi="宋体" w:cs="Arial" w:hint="eastAsia"/>
          <w:sz w:val="24"/>
        </w:rPr>
        <w:t>或进行基金分红时，如基金托管资金账户有足够的资金，基金托管人应按时拨付；因基金托管资金账户没有足够的资金，导致基金托管人不能按时拨付，如系基金管理人的原因造成，责任由基金管理人承担，基金托管人不承担垫款义务。</w:t>
      </w:r>
    </w:p>
    <w:p w14:paraId="3A988404"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9.资金指令</w:t>
      </w:r>
    </w:p>
    <w:p w14:paraId="080D70BD" w14:textId="6544BFAA"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除</w:t>
      </w:r>
      <w:r w:rsidR="00555A88">
        <w:rPr>
          <w:rFonts w:ascii="宋体" w:hAnsi="宋体" w:cs="Arial" w:hint="eastAsia"/>
          <w:sz w:val="24"/>
        </w:rPr>
        <w:t>净应收款</w:t>
      </w:r>
      <w:r>
        <w:rPr>
          <w:rFonts w:ascii="宋体" w:hAnsi="宋体" w:cs="Arial" w:hint="eastAsia"/>
          <w:sz w:val="24"/>
        </w:rPr>
        <w:t>到达基金托管资金账户需双方按约定方式对账外，回购到期付款和与投资有关的付款、</w:t>
      </w:r>
      <w:r w:rsidR="00C85A4E">
        <w:rPr>
          <w:rFonts w:ascii="宋体" w:hAnsi="宋体" w:cs="Arial" w:hint="eastAsia"/>
          <w:sz w:val="24"/>
        </w:rPr>
        <w:t>净应付款</w:t>
      </w:r>
      <w:r>
        <w:rPr>
          <w:rFonts w:ascii="宋体" w:hAnsi="宋体" w:cs="Arial" w:hint="eastAsia"/>
          <w:sz w:val="24"/>
        </w:rPr>
        <w:t>和分红资金划拨时，基金管理人需向基金托管人下达指令。</w:t>
      </w:r>
    </w:p>
    <w:p w14:paraId="06AAA9A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资金指令的格式、内容、发送、接收和确认方式等与投资指令相同。</w:t>
      </w:r>
    </w:p>
    <w:p w14:paraId="5C3A23FC" w14:textId="5CA2B0CC"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w:t>
      </w:r>
      <w:r w:rsidR="00587EF7">
        <w:rPr>
          <w:rFonts w:ascii="宋体" w:hAnsi="宋体" w:cs="Arial" w:hint="eastAsia"/>
          <w:sz w:val="24"/>
        </w:rPr>
        <w:t>四</w:t>
      </w:r>
      <w:r>
        <w:rPr>
          <w:rFonts w:ascii="宋体" w:hAnsi="宋体" w:cs="Arial" w:hint="eastAsia"/>
          <w:sz w:val="24"/>
        </w:rPr>
        <w:t>）申赎净额结算</w:t>
      </w:r>
    </w:p>
    <w:p w14:paraId="3D83519D" w14:textId="04D30122" w:rsidR="00353BD1" w:rsidRDefault="00F3265F" w:rsidP="00F74D8D">
      <w:pPr>
        <w:adjustRightInd w:val="0"/>
        <w:snapToGrid w:val="0"/>
        <w:spacing w:line="360" w:lineRule="auto"/>
        <w:ind w:firstLine="480"/>
        <w:rPr>
          <w:rFonts w:ascii="宋体" w:hAnsi="宋体" w:cs="Arial"/>
          <w:sz w:val="24"/>
        </w:rPr>
      </w:pPr>
      <w:r w:rsidRPr="00F3265F">
        <w:rPr>
          <w:rFonts w:ascii="宋体" w:hAnsi="宋体" w:cs="Arial" w:hint="eastAsia"/>
          <w:sz w:val="24"/>
        </w:rPr>
        <w:lastRenderedPageBreak/>
        <w:t>基金托管资金账户与“基金清算账户”间的资金结算遵循“全额清算、净额交收”的原则，每日按照托管资金账户应收资金(申购申请对应申购金额与基金转换入申请对应金额之和)与应付资金(赎回申请对应赎回金额扣除归基金资产的费用与基金转换出申请对应金额扣除归基金资产的费用之和)的差额来确定托管资金账户净应收额或净应付额，以此确定资金交收额。当存在托管资金账户净应收额时，基金管理人应在交收日15:00之前从基金清算账户划到基金托管资金账户；当存在托管资金账户净应付额时，基金管理人应</w:t>
      </w:r>
      <w:r w:rsidR="00550CB1" w:rsidRPr="00550CB1">
        <w:rPr>
          <w:rFonts w:ascii="宋体" w:hAnsi="宋体" w:cs="Arial" w:hint="eastAsia"/>
          <w:sz w:val="24"/>
        </w:rPr>
        <w:t>T日10点前</w:t>
      </w:r>
      <w:r w:rsidRPr="00F3265F">
        <w:rPr>
          <w:rFonts w:ascii="宋体" w:hAnsi="宋体" w:cs="Arial" w:hint="eastAsia"/>
          <w:sz w:val="24"/>
        </w:rPr>
        <w:t>将划款指令发送给基金托管人，基金托管人按基金管理人的划款指令将托管资金账户净应付额在交收日</w:t>
      </w:r>
      <w:r w:rsidR="00550CB1">
        <w:rPr>
          <w:rFonts w:ascii="宋体" w:hAnsi="宋体" w:cs="Arial" w:hint="eastAsia"/>
          <w:sz w:val="24"/>
        </w:rPr>
        <w:t>1</w:t>
      </w:r>
      <w:r w:rsidR="00550CB1">
        <w:rPr>
          <w:rFonts w:ascii="宋体" w:hAnsi="宋体" w:cs="Arial"/>
          <w:sz w:val="24"/>
        </w:rPr>
        <w:t>5</w:t>
      </w:r>
      <w:r w:rsidRPr="00F3265F">
        <w:rPr>
          <w:rFonts w:ascii="宋体" w:hAnsi="宋体" w:cs="Arial" w:hint="eastAsia"/>
          <w:sz w:val="24"/>
        </w:rPr>
        <w:t>:00之前划往基金清算账户</w:t>
      </w:r>
      <w:r w:rsidR="00064D22">
        <w:rPr>
          <w:rFonts w:ascii="宋体" w:hAnsi="宋体" w:cs="Arial" w:hint="eastAsia"/>
          <w:sz w:val="24"/>
        </w:rPr>
        <w:t>。</w:t>
      </w:r>
    </w:p>
    <w:p w14:paraId="71DED06B" w14:textId="121B8043" w:rsidR="00353BD1" w:rsidRDefault="006B5C7C">
      <w:pPr>
        <w:adjustRightInd w:val="0"/>
        <w:snapToGrid w:val="0"/>
        <w:spacing w:line="360" w:lineRule="auto"/>
        <w:ind w:firstLine="480"/>
        <w:outlineLvl w:val="0"/>
        <w:rPr>
          <w:rFonts w:ascii="宋体" w:hAnsi="宋体" w:cs="Arial"/>
          <w:sz w:val="24"/>
        </w:rPr>
      </w:pPr>
      <w:r>
        <w:rPr>
          <w:rFonts w:ascii="宋体" w:hAnsi="宋体" w:cs="Arial" w:hint="eastAsia"/>
          <w:sz w:val="24"/>
        </w:rPr>
        <w:t>（五</w:t>
      </w:r>
      <w:r w:rsidR="00064D22">
        <w:rPr>
          <w:rFonts w:ascii="宋体" w:hAnsi="宋体" w:cs="Arial" w:hint="eastAsia"/>
          <w:sz w:val="24"/>
        </w:rPr>
        <w:t>）基金转换</w:t>
      </w:r>
    </w:p>
    <w:p w14:paraId="0BEE97A7"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1.在本基金与基金管理人管理的其它基金开展转换业务之前，基金管理人应函告基金托管人并就相关事宜进行协商。</w:t>
      </w:r>
    </w:p>
    <w:p w14:paraId="5B3CA208" w14:textId="77777777"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020E7DF" w14:textId="77777777" w:rsidR="00353BD1" w:rsidRDefault="00064D22">
      <w:pPr>
        <w:adjustRightInd w:val="0"/>
        <w:snapToGrid w:val="0"/>
        <w:spacing w:line="360" w:lineRule="auto"/>
        <w:ind w:firstLine="480"/>
        <w:outlineLvl w:val="0"/>
        <w:rPr>
          <w:rFonts w:ascii="宋体" w:hAnsi="宋体" w:cs="Arial"/>
          <w:sz w:val="24"/>
        </w:rPr>
      </w:pPr>
      <w:r>
        <w:rPr>
          <w:rFonts w:ascii="宋体" w:hAnsi="宋体" w:cs="Arial" w:hint="eastAsia"/>
          <w:sz w:val="24"/>
        </w:rPr>
        <w:t>3.本基金开展基金转换业务应按相关法律法规规定及《基金合同》的约定进行公告。</w:t>
      </w:r>
    </w:p>
    <w:p w14:paraId="496C1D1E" w14:textId="766F9E97" w:rsidR="00353BD1" w:rsidRDefault="009614FA">
      <w:pPr>
        <w:adjustRightInd w:val="0"/>
        <w:snapToGrid w:val="0"/>
        <w:spacing w:line="360" w:lineRule="auto"/>
        <w:ind w:firstLine="480"/>
        <w:outlineLvl w:val="0"/>
        <w:rPr>
          <w:rFonts w:ascii="宋体" w:hAnsi="宋体" w:cs="Arial"/>
          <w:sz w:val="24"/>
        </w:rPr>
      </w:pPr>
      <w:r>
        <w:rPr>
          <w:rFonts w:ascii="宋体" w:hAnsi="宋体" w:cs="Arial" w:hint="eastAsia"/>
          <w:sz w:val="24"/>
        </w:rPr>
        <w:t>（六</w:t>
      </w:r>
      <w:r w:rsidR="00064D22">
        <w:rPr>
          <w:rFonts w:ascii="宋体" w:hAnsi="宋体" w:cs="Arial" w:hint="eastAsia"/>
          <w:sz w:val="24"/>
        </w:rPr>
        <w:t>）基金现金分红</w:t>
      </w:r>
    </w:p>
    <w:p w14:paraId="53A5F03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1.基金管理人确定分红方案通知基金托管人，双方核定后</w:t>
      </w:r>
      <w:r>
        <w:rPr>
          <w:rFonts w:ascii="宋体" w:hAnsi="宋体" w:hint="eastAsia"/>
          <w:sz w:val="24"/>
          <w:szCs w:val="18"/>
        </w:rPr>
        <w:t>依照《信息披露办法》的有关规定在中国证监会规定媒介上公告</w:t>
      </w:r>
      <w:r>
        <w:rPr>
          <w:rFonts w:ascii="宋体" w:hAnsi="宋体" w:cs="Arial" w:hint="eastAsia"/>
          <w:sz w:val="24"/>
        </w:rPr>
        <w:t>。</w:t>
      </w:r>
    </w:p>
    <w:p w14:paraId="1FFCA860" w14:textId="77777777" w:rsidR="00353BD1" w:rsidRDefault="00064D22">
      <w:pPr>
        <w:adjustRightInd w:val="0"/>
        <w:snapToGrid w:val="0"/>
        <w:spacing w:line="360" w:lineRule="auto"/>
        <w:ind w:firstLine="480"/>
        <w:rPr>
          <w:rFonts w:ascii="宋体" w:hAnsi="宋体" w:cs="Arial"/>
          <w:sz w:val="24"/>
        </w:rPr>
      </w:pPr>
      <w:r>
        <w:rPr>
          <w:rFonts w:ascii="宋体" w:hAnsi="宋体" w:cs="Arial" w:hint="eastAsia"/>
          <w:sz w:val="24"/>
        </w:rPr>
        <w:t>2.基金托管人和基金管理人对基金分红进行账务处理并核对后，基金管理人向基金托管人发送现金红利的划款指令，基金托管人应及时将资金划入专用账户。</w:t>
      </w:r>
    </w:p>
    <w:p w14:paraId="3AD4282B" w14:textId="77777777" w:rsidR="00353BD1" w:rsidRDefault="00064D22">
      <w:pPr>
        <w:spacing w:line="360" w:lineRule="auto"/>
        <w:ind w:firstLine="480"/>
        <w:rPr>
          <w:rFonts w:ascii="宋体" w:hAnsi="宋体" w:cs="Arial"/>
          <w:sz w:val="24"/>
        </w:rPr>
      </w:pPr>
      <w:r>
        <w:rPr>
          <w:rFonts w:ascii="宋体" w:hAnsi="宋体" w:cs="Arial" w:hint="eastAsia"/>
          <w:sz w:val="24"/>
        </w:rPr>
        <w:t>3.基金管理人在下达指令时，应给基金托管人留出必需的划款时间。</w:t>
      </w:r>
    </w:p>
    <w:p w14:paraId="7815C36C" w14:textId="3EDA062A" w:rsidR="00353BD1" w:rsidRDefault="00B35225">
      <w:pPr>
        <w:spacing w:line="360" w:lineRule="auto"/>
        <w:ind w:firstLine="480"/>
        <w:rPr>
          <w:rFonts w:ascii="宋体" w:hAnsi="宋体" w:cs="Arial"/>
          <w:sz w:val="24"/>
        </w:rPr>
      </w:pPr>
      <w:r>
        <w:rPr>
          <w:rFonts w:ascii="宋体" w:hAnsi="宋体" w:cs="Arial" w:hint="eastAsia"/>
          <w:sz w:val="24"/>
        </w:rPr>
        <w:t>（七</w:t>
      </w:r>
      <w:r w:rsidR="00064D22">
        <w:rPr>
          <w:rFonts w:ascii="宋体" w:hAnsi="宋体" w:cs="Arial" w:hint="eastAsia"/>
          <w:sz w:val="24"/>
        </w:rPr>
        <w:t>）投资银行存款的特别约定</w:t>
      </w:r>
    </w:p>
    <w:p w14:paraId="75F70336" w14:textId="77777777" w:rsidR="00353BD1" w:rsidRDefault="00064D22">
      <w:pPr>
        <w:spacing w:line="360" w:lineRule="auto"/>
        <w:ind w:firstLine="480"/>
        <w:rPr>
          <w:rFonts w:ascii="宋体" w:hAnsi="宋体" w:cs="Arial"/>
          <w:sz w:val="24"/>
        </w:rPr>
      </w:pPr>
      <w:r>
        <w:rPr>
          <w:rFonts w:ascii="宋体" w:hAnsi="宋体" w:cs="Arial" w:hint="eastAsia"/>
          <w:sz w:val="24"/>
        </w:rPr>
        <w:t>1.本基金投资银行存款前，基金管理人应与存款银行签订具体存款协议，包括但不限于以下内容：</w:t>
      </w:r>
    </w:p>
    <w:p w14:paraId="20432DEC" w14:textId="77777777" w:rsidR="00353BD1" w:rsidRDefault="00064D22">
      <w:pPr>
        <w:spacing w:line="360" w:lineRule="auto"/>
        <w:ind w:firstLine="480"/>
        <w:rPr>
          <w:rFonts w:ascii="宋体" w:hAnsi="宋体" w:cs="Arial"/>
          <w:sz w:val="24"/>
        </w:rPr>
      </w:pPr>
      <w:r>
        <w:rPr>
          <w:rFonts w:ascii="宋体"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4C458196" w14:textId="77777777" w:rsidR="00353BD1" w:rsidRDefault="00064D22">
      <w:pPr>
        <w:spacing w:line="360" w:lineRule="auto"/>
        <w:ind w:firstLine="480"/>
        <w:rPr>
          <w:rFonts w:ascii="宋体" w:hAnsi="宋体" w:cs="Arial"/>
          <w:sz w:val="24"/>
        </w:rPr>
      </w:pPr>
      <w:r>
        <w:rPr>
          <w:rFonts w:ascii="宋体" w:hAnsi="宋体" w:cs="Arial" w:hint="eastAsia"/>
          <w:sz w:val="24"/>
        </w:rPr>
        <w:t>（2）存款银行不得接受基金管理人或基金托管人任何一方单方面提出的对存</w:t>
      </w:r>
      <w:r>
        <w:rPr>
          <w:rFonts w:ascii="宋体" w:hAnsi="宋体" w:cs="Arial" w:hint="eastAsia"/>
          <w:sz w:val="24"/>
        </w:rPr>
        <w:lastRenderedPageBreak/>
        <w:t>款进行更名、转让、挂失、质押、担保、撤销、变更印鉴及回款账户信息等可能导致财产转移的操作申请。</w:t>
      </w:r>
    </w:p>
    <w:p w14:paraId="218942F1" w14:textId="77777777" w:rsidR="00353BD1" w:rsidRDefault="00064D22">
      <w:pPr>
        <w:spacing w:line="360" w:lineRule="auto"/>
        <w:ind w:firstLine="480"/>
        <w:rPr>
          <w:rFonts w:ascii="宋体" w:hAnsi="宋体" w:cs="Arial"/>
          <w:sz w:val="24"/>
        </w:rPr>
      </w:pPr>
      <w:r>
        <w:rPr>
          <w:rFonts w:ascii="宋体" w:hAnsi="宋体" w:cs="Arial" w:hint="eastAsia"/>
          <w:sz w:val="24"/>
        </w:rPr>
        <w:t>（3）约定存款证实书的具体传递交接方式及交接期限。</w:t>
      </w:r>
    </w:p>
    <w:p w14:paraId="29D9DD29" w14:textId="77777777" w:rsidR="00353BD1" w:rsidRDefault="00064D22">
      <w:pPr>
        <w:spacing w:line="360" w:lineRule="auto"/>
        <w:ind w:firstLine="480"/>
        <w:rPr>
          <w:rFonts w:ascii="宋体" w:hAnsi="宋体" w:cs="Arial"/>
          <w:sz w:val="24"/>
        </w:rPr>
      </w:pPr>
      <w:r>
        <w:rPr>
          <w:rFonts w:ascii="宋体" w:hAnsi="宋体" w:cs="Arial" w:hint="eastAsia"/>
          <w:sz w:val="24"/>
        </w:rPr>
        <w:t>（4）资金划转过程中需要使用存款银行过渡账户的，存款银行须保证资金在过渡账户中不出现滞留，不被挪用。</w:t>
      </w:r>
    </w:p>
    <w:p w14:paraId="26063DE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14:paraId="588239E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16F47BCF" w14:textId="56ECBAD1" w:rsidR="00353BD1" w:rsidRDefault="00064D22">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对于已移交基金托管人保管的存款开户证实书等实物凭证，基金托管人应安全保管；对未按约定将存款开户证实书等实物凭证移交托管人保管的，基金托管人应向基金管理人进行必要的催缴和风险提示；提示后仍不将相关实物凭证送达托管人保管的，出于托管履职和尽责，托管人可视情况采取必要的风险控制措施：（</w:t>
      </w:r>
      <w:r>
        <w:rPr>
          <w:rFonts w:ascii="宋体" w:hAnsi="宋体" w:cs="Arial"/>
          <w:sz w:val="24"/>
        </w:rPr>
        <w:t>1</w:t>
      </w:r>
      <w:r>
        <w:rPr>
          <w:rFonts w:ascii="宋体" w:hAnsi="宋体" w:cs="Arial" w:hint="eastAsia"/>
          <w:sz w:val="24"/>
        </w:rPr>
        <w:t>）建立风险预警机制，对于实物凭证未送达集中度较高的存款银行，主动发函管理人尽量避免在此类银行进行存款投资；（</w:t>
      </w:r>
      <w:r>
        <w:rPr>
          <w:rFonts w:ascii="宋体" w:hAnsi="宋体" w:cs="Arial"/>
          <w:sz w:val="24"/>
        </w:rPr>
        <w:t>2</w:t>
      </w:r>
      <w:r>
        <w:rPr>
          <w:rFonts w:ascii="宋体" w:hAnsi="宋体" w:cs="Arial" w:hint="eastAsia"/>
          <w:sz w:val="24"/>
        </w:rPr>
        <w:t>）在定期报告中，对未按约定送达基金托管人保管的实物凭证信息进行规定范围信息披露；（</w:t>
      </w:r>
      <w:r>
        <w:rPr>
          <w:rFonts w:ascii="宋体" w:hAnsi="宋体" w:cs="Arial"/>
          <w:sz w:val="24"/>
        </w:rPr>
        <w:t>3</w:t>
      </w:r>
      <w:r>
        <w:rPr>
          <w:rFonts w:ascii="宋体" w:hAnsi="宋体" w:cs="Arial" w:hint="eastAsia"/>
          <w:sz w:val="24"/>
        </w:rPr>
        <w:t>）未送达实物凭证超过送单截止日后</w:t>
      </w:r>
      <w:r>
        <w:rPr>
          <w:rFonts w:ascii="宋体" w:hAnsi="宋体" w:cs="Arial"/>
          <w:sz w:val="24"/>
        </w:rPr>
        <w:t>30</w:t>
      </w:r>
      <w:r>
        <w:rPr>
          <w:rFonts w:ascii="宋体" w:hAnsi="宋体" w:cs="Arial" w:hint="eastAsia"/>
          <w:sz w:val="24"/>
        </w:rPr>
        <w:t>个工作日，且累计超过</w:t>
      </w:r>
      <w:r>
        <w:rPr>
          <w:rFonts w:ascii="宋体" w:hAnsi="宋体" w:cs="Arial"/>
          <w:sz w:val="24"/>
        </w:rPr>
        <w:t>3</w:t>
      </w:r>
      <w:r>
        <w:rPr>
          <w:rFonts w:ascii="宋体" w:hAnsi="宋体" w:cs="Arial" w:hint="eastAsia"/>
          <w:sz w:val="24"/>
        </w:rPr>
        <w:t>笔（含）以上的，部分或全部暂停配合基金管理人办理后续新增存款投资业务，直至实物凭证送达托管人保管后解除。实物凭证未送达但存款本息已安全划回托管资金账户的，以及因发生特殊情况由管理人提供相关书面说明并重新承诺送单截止时间的，可剔除不计。</w:t>
      </w:r>
    </w:p>
    <w:p w14:paraId="403A1CB3" w14:textId="77777777" w:rsidR="00E12A7F" w:rsidRPr="00E12A7F" w:rsidRDefault="00E12A7F" w:rsidP="00E12A7F">
      <w:pPr>
        <w:adjustRightInd w:val="0"/>
        <w:snapToGrid w:val="0"/>
        <w:spacing w:line="360" w:lineRule="auto"/>
        <w:ind w:firstLineChars="200" w:firstLine="480"/>
        <w:rPr>
          <w:rFonts w:ascii="宋体" w:hAnsi="宋体" w:cs="Arial"/>
          <w:sz w:val="24"/>
        </w:rPr>
      </w:pPr>
      <w:r w:rsidRPr="00E12A7F">
        <w:rPr>
          <w:rFonts w:ascii="宋体" w:hAnsi="宋体" w:cs="Arial" w:hint="eastAsia"/>
          <w:sz w:val="24"/>
        </w:rPr>
        <w:t>（八）托管产品通过第三方销售机构参与开放式基金投资的特别约定</w:t>
      </w:r>
    </w:p>
    <w:p w14:paraId="52C7CB40" w14:textId="54870C6E" w:rsidR="00E12A7F" w:rsidRDefault="00E12A7F" w:rsidP="00E12A7F">
      <w:pPr>
        <w:adjustRightInd w:val="0"/>
        <w:snapToGrid w:val="0"/>
        <w:spacing w:line="360" w:lineRule="auto"/>
        <w:ind w:firstLineChars="200" w:firstLine="480"/>
        <w:rPr>
          <w:rFonts w:ascii="宋体" w:hAnsi="宋体" w:cs="Arial"/>
          <w:sz w:val="24"/>
        </w:rPr>
      </w:pPr>
      <w:r w:rsidRPr="00E12A7F">
        <w:rPr>
          <w:rFonts w:ascii="宋体" w:hAnsi="宋体" w:cs="Arial" w:hint="eastAsia"/>
          <w:sz w:val="24"/>
        </w:rPr>
        <w:t>本产品可以通过第三方基金销售机构渠道投资开放式基金。为维护产品持有人利益、保障资产安全，投资管理人应负责制订选择第三方基金销售机构的标准和程序，并据此选择第三方销售机构。对于第三方基金销售机构原因给本产品造成损失的，相关责任由投资管理人承担</w:t>
      </w:r>
      <w:r>
        <w:rPr>
          <w:rFonts w:ascii="宋体" w:hAnsi="宋体" w:cs="Arial" w:hint="eastAsia"/>
          <w:sz w:val="24"/>
        </w:rPr>
        <w:t>。</w:t>
      </w:r>
    </w:p>
    <w:p w14:paraId="3C3E77B6" w14:textId="77777777" w:rsidR="00353BD1" w:rsidRDefault="00353BD1">
      <w:pPr>
        <w:adjustRightInd w:val="0"/>
        <w:snapToGrid w:val="0"/>
        <w:spacing w:line="360" w:lineRule="auto"/>
        <w:ind w:firstLineChars="200" w:firstLine="480"/>
        <w:rPr>
          <w:rFonts w:ascii="宋体" w:hAnsi="宋体" w:cs="Arial"/>
          <w:sz w:val="24"/>
        </w:rPr>
      </w:pPr>
    </w:p>
    <w:p w14:paraId="43834DD8" w14:textId="77777777" w:rsidR="00353BD1" w:rsidRDefault="00064D22">
      <w:pPr>
        <w:pStyle w:val="2"/>
        <w:spacing w:line="360" w:lineRule="auto"/>
        <w:jc w:val="center"/>
        <w:rPr>
          <w:rFonts w:ascii="宋体" w:eastAsia="宋体" w:hAnsi="宋体"/>
          <w:sz w:val="30"/>
        </w:rPr>
      </w:pPr>
      <w:bookmarkStart w:id="95" w:name="_Toc124325892"/>
      <w:r>
        <w:rPr>
          <w:rFonts w:ascii="宋体" w:eastAsia="宋体" w:hAnsi="宋体" w:hint="eastAsia"/>
          <w:sz w:val="30"/>
        </w:rPr>
        <w:lastRenderedPageBreak/>
        <w:t>八、基金资产净值计算和会计核算</w:t>
      </w:r>
      <w:bookmarkEnd w:id="95"/>
    </w:p>
    <w:p w14:paraId="1F4E314F"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（一）基金资产净值的计算、复核与完成的时间及程序</w:t>
      </w:r>
    </w:p>
    <w:p w14:paraId="15C6756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1.基金资产净值是指基金资产总值减去负债后的金额。各类基金份额净值是按照每个估值日闭市后，各类基金份额的基金资产净值除以当日该类基金份额的余额总数计算，均精确到0.00</w:t>
      </w:r>
      <w:r>
        <w:rPr>
          <w:rFonts w:ascii="宋体" w:hAnsi="宋体" w:cs="Arial"/>
          <w:sz w:val="24"/>
        </w:rPr>
        <w:t>0</w:t>
      </w:r>
      <w:r>
        <w:rPr>
          <w:rFonts w:ascii="宋体" w:hAnsi="宋体" w:cs="Arial" w:hint="eastAsia"/>
          <w:sz w:val="24"/>
        </w:rPr>
        <w:t>1元，小数点后第五位四舍五入。基金管理人可以设立大额赎回情形下的净值精度应急调整机制。国家另有规定的，从其规定。</w:t>
      </w:r>
    </w:p>
    <w:p w14:paraId="799196E6" w14:textId="7B744A4B"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每个估值日</w:t>
      </w:r>
      <w:r w:rsidR="0062027C" w:rsidRPr="0062027C">
        <w:rPr>
          <w:rFonts w:ascii="宋体" w:hAnsi="宋体" w:cs="Arial" w:hint="eastAsia"/>
          <w:sz w:val="24"/>
        </w:rPr>
        <w:t>后两个工作日</w:t>
      </w:r>
      <w:r>
        <w:rPr>
          <w:rFonts w:ascii="宋体" w:hAnsi="宋体" w:cs="Arial" w:hint="eastAsia"/>
          <w:sz w:val="24"/>
        </w:rPr>
        <w:t>计算基金资产净值及各类基金份额净值，并按规定公告。</w:t>
      </w:r>
    </w:p>
    <w:p w14:paraId="6156EA24" w14:textId="714D82D9"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2.基金管理人应每个估值日</w:t>
      </w:r>
      <w:r w:rsidR="0062027C" w:rsidRPr="0062027C">
        <w:rPr>
          <w:rFonts w:ascii="宋体" w:hAnsi="宋体" w:cs="Arial" w:hint="eastAsia"/>
          <w:sz w:val="24"/>
        </w:rPr>
        <w:t>后两个工作日</w:t>
      </w:r>
      <w:r>
        <w:rPr>
          <w:rFonts w:ascii="宋体" w:hAnsi="宋体" w:cs="Arial" w:hint="eastAsia"/>
          <w:sz w:val="24"/>
        </w:rPr>
        <w:t>对基金资产估值。但基金管理人根据法律法规或《基金合同》的规定暂停估值时除外。基金管理人每个估值日对基金资产估值后，将各类基金份额净值结果发送基金托管人，经基金托管人复核无误后，由基金管理人按规定对外公布。</w:t>
      </w:r>
    </w:p>
    <w:p w14:paraId="5E61593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（二）基金资产估值方法和特殊情形的处理</w:t>
      </w:r>
    </w:p>
    <w:p w14:paraId="57A79F24" w14:textId="594EFF02"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本基金的估值对象为</w:t>
      </w:r>
      <w:r w:rsidR="0062027C" w:rsidRPr="0062027C">
        <w:rPr>
          <w:rFonts w:ascii="宋体" w:hAnsi="宋体" w:cs="Arial" w:hint="eastAsia"/>
          <w:sz w:val="24"/>
        </w:rPr>
        <w:t>基金所拥有的证券投资基金、股票、债券、银行存款本息、应收款项、其它投资等资产及负债</w:t>
      </w:r>
      <w:r>
        <w:rPr>
          <w:rFonts w:ascii="宋体" w:hAnsi="宋体" w:cs="Arial" w:hint="eastAsia"/>
          <w:sz w:val="24"/>
        </w:rPr>
        <w:t>。</w:t>
      </w:r>
    </w:p>
    <w:p w14:paraId="549108F6" w14:textId="77777777" w:rsidR="00353BD1" w:rsidRDefault="00064D22">
      <w:pPr>
        <w:spacing w:line="360" w:lineRule="auto"/>
        <w:ind w:firstLineChars="200" w:firstLine="480"/>
        <w:rPr>
          <w:rFonts w:asciiTheme="minorEastAsia" w:hAnsiTheme="minorEastAsia"/>
          <w:bCs/>
          <w:sz w:val="24"/>
        </w:rPr>
      </w:pPr>
      <w:r>
        <w:rPr>
          <w:rFonts w:asciiTheme="minorEastAsia" w:hAnsiTheme="minorEastAsia" w:hint="eastAsia"/>
          <w:bCs/>
          <w:sz w:val="24"/>
        </w:rPr>
        <w:t>本基金所持有的投资品种，按如下原则进行估值：</w:t>
      </w:r>
    </w:p>
    <w:p w14:paraId="17A2F70F" w14:textId="6E4714D2" w:rsidR="005540E2" w:rsidRPr="005540E2" w:rsidRDefault="005540E2" w:rsidP="005540E2">
      <w:pPr>
        <w:spacing w:line="360" w:lineRule="auto"/>
        <w:ind w:firstLineChars="200" w:firstLine="480"/>
        <w:rPr>
          <w:bCs/>
          <w:sz w:val="24"/>
        </w:rPr>
      </w:pPr>
      <w:r w:rsidRPr="005540E2">
        <w:rPr>
          <w:rFonts w:hint="eastAsia"/>
          <w:bCs/>
          <w:sz w:val="24"/>
        </w:rPr>
        <w:t>1</w:t>
      </w:r>
      <w:r>
        <w:rPr>
          <w:rFonts w:hint="eastAsia"/>
          <w:bCs/>
          <w:sz w:val="24"/>
        </w:rPr>
        <w:t>．</w:t>
      </w:r>
      <w:r w:rsidRPr="005540E2">
        <w:rPr>
          <w:rFonts w:hint="eastAsia"/>
          <w:bCs/>
          <w:sz w:val="24"/>
        </w:rPr>
        <w:t>基金估值方法</w:t>
      </w:r>
    </w:p>
    <w:p w14:paraId="61ECA98A"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1</w:t>
      </w:r>
      <w:r w:rsidRPr="005540E2">
        <w:rPr>
          <w:rFonts w:hint="eastAsia"/>
          <w:bCs/>
          <w:sz w:val="24"/>
        </w:rPr>
        <w:t>）非上市基金估值</w:t>
      </w:r>
    </w:p>
    <w:p w14:paraId="4F310656" w14:textId="77777777" w:rsidR="005540E2" w:rsidRPr="005540E2" w:rsidRDefault="005540E2" w:rsidP="005540E2">
      <w:pPr>
        <w:spacing w:line="360" w:lineRule="auto"/>
        <w:ind w:firstLineChars="200" w:firstLine="480"/>
        <w:rPr>
          <w:bCs/>
          <w:sz w:val="24"/>
        </w:rPr>
      </w:pPr>
      <w:r w:rsidRPr="005540E2">
        <w:rPr>
          <w:rFonts w:hint="eastAsia"/>
          <w:bCs/>
          <w:sz w:val="24"/>
        </w:rPr>
        <w:t>1</w:t>
      </w:r>
      <w:r w:rsidRPr="005540E2">
        <w:rPr>
          <w:rFonts w:hint="eastAsia"/>
          <w:bCs/>
          <w:sz w:val="24"/>
        </w:rPr>
        <w:t>）本基金投资的境内非货币市场基金，按所投资基金估值日的基金份额净值估值。</w:t>
      </w:r>
    </w:p>
    <w:p w14:paraId="26CCE251" w14:textId="77777777" w:rsidR="005540E2" w:rsidRPr="005540E2" w:rsidRDefault="005540E2" w:rsidP="005540E2">
      <w:pPr>
        <w:spacing w:line="360" w:lineRule="auto"/>
        <w:ind w:firstLineChars="200" w:firstLine="480"/>
        <w:rPr>
          <w:bCs/>
          <w:sz w:val="24"/>
        </w:rPr>
      </w:pPr>
      <w:r w:rsidRPr="005540E2">
        <w:rPr>
          <w:rFonts w:hint="eastAsia"/>
          <w:bCs/>
          <w:sz w:val="24"/>
        </w:rPr>
        <w:t>2</w:t>
      </w:r>
      <w:r w:rsidRPr="005540E2">
        <w:rPr>
          <w:rFonts w:hint="eastAsia"/>
          <w:bCs/>
          <w:sz w:val="24"/>
        </w:rPr>
        <w:t>）本基金投资的境内货币市场基金，按所投资基金前一估值日后至估值日期间（含节假日）的万份收益计提估值日基金收益。</w:t>
      </w:r>
    </w:p>
    <w:p w14:paraId="1D13056F"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2</w:t>
      </w:r>
      <w:r w:rsidRPr="005540E2">
        <w:rPr>
          <w:rFonts w:hint="eastAsia"/>
          <w:bCs/>
          <w:sz w:val="24"/>
        </w:rPr>
        <w:t>）上市基金估值</w:t>
      </w:r>
    </w:p>
    <w:p w14:paraId="7DC43C27" w14:textId="77777777" w:rsidR="005540E2" w:rsidRPr="005540E2" w:rsidRDefault="005540E2" w:rsidP="005540E2">
      <w:pPr>
        <w:spacing w:line="360" w:lineRule="auto"/>
        <w:ind w:firstLineChars="200" w:firstLine="480"/>
        <w:rPr>
          <w:bCs/>
          <w:sz w:val="24"/>
        </w:rPr>
      </w:pPr>
      <w:r w:rsidRPr="005540E2">
        <w:rPr>
          <w:rFonts w:hint="eastAsia"/>
          <w:bCs/>
          <w:sz w:val="24"/>
        </w:rPr>
        <w:t>1</w:t>
      </w:r>
      <w:r w:rsidRPr="005540E2">
        <w:rPr>
          <w:rFonts w:hint="eastAsia"/>
          <w:bCs/>
          <w:sz w:val="24"/>
        </w:rPr>
        <w:t>）本基金投资的</w:t>
      </w:r>
      <w:r w:rsidRPr="005540E2">
        <w:rPr>
          <w:rFonts w:hint="eastAsia"/>
          <w:bCs/>
          <w:sz w:val="24"/>
        </w:rPr>
        <w:t>ETF</w:t>
      </w:r>
      <w:r w:rsidRPr="005540E2">
        <w:rPr>
          <w:rFonts w:hint="eastAsia"/>
          <w:bCs/>
          <w:sz w:val="24"/>
        </w:rPr>
        <w:t>基金、境内上市定期开放式基金、封闭式基金，按所投资基金估值日的收盘价估值。</w:t>
      </w:r>
    </w:p>
    <w:p w14:paraId="6C449349" w14:textId="77777777" w:rsidR="005540E2" w:rsidRPr="005540E2" w:rsidRDefault="005540E2" w:rsidP="005540E2">
      <w:pPr>
        <w:spacing w:line="360" w:lineRule="auto"/>
        <w:ind w:firstLineChars="200" w:firstLine="480"/>
        <w:rPr>
          <w:bCs/>
          <w:sz w:val="24"/>
        </w:rPr>
      </w:pPr>
      <w:r w:rsidRPr="005540E2">
        <w:rPr>
          <w:rFonts w:hint="eastAsia"/>
          <w:bCs/>
          <w:sz w:val="24"/>
        </w:rPr>
        <w:t>2</w:t>
      </w:r>
      <w:r w:rsidRPr="005540E2">
        <w:rPr>
          <w:rFonts w:hint="eastAsia"/>
          <w:bCs/>
          <w:sz w:val="24"/>
        </w:rPr>
        <w:t>）本基金投资的境内上市开放式基金（</w:t>
      </w:r>
      <w:r w:rsidRPr="005540E2">
        <w:rPr>
          <w:rFonts w:hint="eastAsia"/>
          <w:bCs/>
          <w:sz w:val="24"/>
        </w:rPr>
        <w:t>LOF</w:t>
      </w:r>
      <w:r w:rsidRPr="005540E2">
        <w:rPr>
          <w:rFonts w:hint="eastAsia"/>
          <w:bCs/>
          <w:sz w:val="24"/>
        </w:rPr>
        <w:t>），按所投资基金估值日的基金份额净值估值。</w:t>
      </w:r>
    </w:p>
    <w:p w14:paraId="1DD33FBF" w14:textId="77777777" w:rsidR="005540E2" w:rsidRPr="005540E2" w:rsidRDefault="005540E2" w:rsidP="005540E2">
      <w:pPr>
        <w:spacing w:line="360" w:lineRule="auto"/>
        <w:ind w:firstLineChars="200" w:firstLine="480"/>
        <w:rPr>
          <w:bCs/>
          <w:sz w:val="24"/>
        </w:rPr>
      </w:pPr>
      <w:r w:rsidRPr="005540E2">
        <w:rPr>
          <w:rFonts w:hint="eastAsia"/>
          <w:bCs/>
          <w:sz w:val="24"/>
        </w:rPr>
        <w:t>3</w:t>
      </w:r>
      <w:r w:rsidRPr="005540E2">
        <w:rPr>
          <w:rFonts w:hint="eastAsia"/>
          <w:bCs/>
          <w:sz w:val="24"/>
        </w:rPr>
        <w:t>）本基金投资的境内上市交易型货币市场基金，如所投资基金披露份额净值，则按所投资基金估值日的份额净值估值；如所投资基金披露万份（百份）收益，则</w:t>
      </w:r>
      <w:r w:rsidRPr="005540E2">
        <w:rPr>
          <w:rFonts w:hint="eastAsia"/>
          <w:bCs/>
          <w:sz w:val="24"/>
        </w:rPr>
        <w:lastRenderedPageBreak/>
        <w:t>按所投资基金前一估值日后至估值日期间（含节假日）的万份（百份）收益计提估值日基金收益。</w:t>
      </w:r>
    </w:p>
    <w:p w14:paraId="4C414F56"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3</w:t>
      </w:r>
      <w:r w:rsidRPr="005540E2">
        <w:rPr>
          <w:rFonts w:hint="eastAsia"/>
          <w:bCs/>
          <w:sz w:val="24"/>
        </w:rPr>
        <w:t>）如遇所投资基金不公布基金份额净值、进行折算或拆分、估值日无交易等特殊情况，基金管理人根据以下原则进行估值：</w:t>
      </w:r>
    </w:p>
    <w:p w14:paraId="008D84FE" w14:textId="77777777" w:rsidR="005540E2" w:rsidRPr="005540E2" w:rsidRDefault="005540E2" w:rsidP="005540E2">
      <w:pPr>
        <w:spacing w:line="360" w:lineRule="auto"/>
        <w:ind w:firstLineChars="200" w:firstLine="480"/>
        <w:rPr>
          <w:bCs/>
          <w:sz w:val="24"/>
        </w:rPr>
      </w:pPr>
      <w:r w:rsidRPr="005540E2">
        <w:rPr>
          <w:rFonts w:hint="eastAsia"/>
          <w:bCs/>
          <w:sz w:val="24"/>
        </w:rPr>
        <w:t>1</w:t>
      </w:r>
      <w:r w:rsidRPr="005540E2">
        <w:rPr>
          <w:rFonts w:hint="eastAsia"/>
          <w:bCs/>
          <w:sz w:val="24"/>
        </w:rPr>
        <w:t>）以所投资基金的基金份额净值估值的，若所投资基金与本基金估值频率一致但未公布估值日基金份额净值，按其最近公布的基金份额净值为基础估值。</w:t>
      </w:r>
    </w:p>
    <w:p w14:paraId="5033A338" w14:textId="77777777" w:rsidR="005540E2" w:rsidRPr="005540E2" w:rsidRDefault="005540E2" w:rsidP="005540E2">
      <w:pPr>
        <w:spacing w:line="360" w:lineRule="auto"/>
        <w:ind w:firstLineChars="200" w:firstLine="480"/>
        <w:rPr>
          <w:bCs/>
          <w:sz w:val="24"/>
        </w:rPr>
      </w:pPr>
      <w:r w:rsidRPr="005540E2">
        <w:rPr>
          <w:rFonts w:hint="eastAsia"/>
          <w:bCs/>
          <w:sz w:val="24"/>
        </w:rPr>
        <w:t>2</w:t>
      </w:r>
      <w:r w:rsidRPr="005540E2">
        <w:rPr>
          <w:rFonts w:hint="eastAsia"/>
          <w:bCs/>
          <w:sz w:val="24"/>
        </w:rPr>
        <w:t>）以所投资基金的收盘价估值的，若估值日无交易，且最近交易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680975DB" w14:textId="77777777" w:rsidR="005540E2" w:rsidRPr="005540E2" w:rsidRDefault="005540E2" w:rsidP="005540E2">
      <w:pPr>
        <w:spacing w:line="360" w:lineRule="auto"/>
        <w:ind w:firstLineChars="200" w:firstLine="480"/>
        <w:rPr>
          <w:bCs/>
          <w:sz w:val="24"/>
        </w:rPr>
      </w:pPr>
      <w:r w:rsidRPr="005540E2">
        <w:rPr>
          <w:rFonts w:hint="eastAsia"/>
          <w:bCs/>
          <w:sz w:val="24"/>
        </w:rPr>
        <w:t>3</w:t>
      </w:r>
      <w:r w:rsidRPr="005540E2">
        <w:rPr>
          <w:rFonts w:hint="eastAsia"/>
          <w:bCs/>
          <w:sz w:val="24"/>
        </w:rPr>
        <w:t>）如果所投资基金前一估值日至估值日期间发生分红除权、折算或拆分，基金管理人应根据基金份额净值或收盘价、单位及份额分红金额、折算拆分比例、持仓份额等因素合理确定公允价值。</w:t>
      </w:r>
    </w:p>
    <w:p w14:paraId="4DFB480C" w14:textId="77777777" w:rsidR="005540E2" w:rsidRPr="005540E2" w:rsidRDefault="005540E2" w:rsidP="005540E2">
      <w:pPr>
        <w:spacing w:line="360" w:lineRule="auto"/>
        <w:ind w:firstLineChars="200" w:firstLine="480"/>
        <w:rPr>
          <w:bCs/>
          <w:sz w:val="24"/>
        </w:rPr>
      </w:pPr>
      <w:r w:rsidRPr="005540E2">
        <w:rPr>
          <w:rFonts w:hint="eastAsia"/>
          <w:bCs/>
          <w:sz w:val="24"/>
        </w:rPr>
        <w:t>当基金管理人认为本基金所投资基金按照上述第（</w:t>
      </w:r>
      <w:r w:rsidRPr="005540E2">
        <w:rPr>
          <w:rFonts w:hint="eastAsia"/>
          <w:bCs/>
          <w:sz w:val="24"/>
        </w:rPr>
        <w:t>1</w:t>
      </w:r>
      <w:r w:rsidRPr="005540E2">
        <w:rPr>
          <w:rFonts w:hint="eastAsia"/>
          <w:bCs/>
          <w:sz w:val="24"/>
        </w:rPr>
        <w:t>）</w:t>
      </w:r>
      <w:r w:rsidRPr="005540E2">
        <w:rPr>
          <w:rFonts w:hint="eastAsia"/>
          <w:bCs/>
          <w:sz w:val="24"/>
        </w:rPr>
        <w:t>-</w:t>
      </w:r>
      <w:r w:rsidRPr="005540E2">
        <w:rPr>
          <w:rFonts w:hint="eastAsia"/>
          <w:bCs/>
          <w:sz w:val="24"/>
        </w:rPr>
        <w:t>（</w:t>
      </w:r>
      <w:r w:rsidRPr="005540E2">
        <w:rPr>
          <w:rFonts w:hint="eastAsia"/>
          <w:bCs/>
          <w:sz w:val="24"/>
        </w:rPr>
        <w:t>3</w:t>
      </w:r>
      <w:r w:rsidRPr="005540E2">
        <w:rPr>
          <w:rFonts w:hint="eastAsia"/>
          <w:bCs/>
          <w:sz w:val="24"/>
        </w:rPr>
        <w:t>）项进行估值存在不公允时，应与基金托管人协商一致采用合理的估值技术或估值标准确定其公允价值。</w:t>
      </w:r>
    </w:p>
    <w:p w14:paraId="3C07C701" w14:textId="1636AF25" w:rsidR="005540E2" w:rsidRPr="005540E2" w:rsidRDefault="005540E2" w:rsidP="005540E2">
      <w:pPr>
        <w:spacing w:line="360" w:lineRule="auto"/>
        <w:ind w:firstLineChars="200" w:firstLine="480"/>
        <w:rPr>
          <w:bCs/>
          <w:sz w:val="24"/>
        </w:rPr>
      </w:pPr>
      <w:r w:rsidRPr="005540E2">
        <w:rPr>
          <w:rFonts w:hint="eastAsia"/>
          <w:bCs/>
          <w:sz w:val="24"/>
        </w:rPr>
        <w:t>2</w:t>
      </w:r>
      <w:r>
        <w:rPr>
          <w:rFonts w:hint="eastAsia"/>
          <w:bCs/>
          <w:sz w:val="24"/>
        </w:rPr>
        <w:t>．</w:t>
      </w:r>
      <w:r w:rsidRPr="005540E2">
        <w:rPr>
          <w:rFonts w:hint="eastAsia"/>
          <w:bCs/>
          <w:sz w:val="24"/>
        </w:rPr>
        <w:t>证券交易所上市的有价证券的估值</w:t>
      </w:r>
    </w:p>
    <w:p w14:paraId="116A589E"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1</w:t>
      </w:r>
      <w:r w:rsidRPr="005540E2">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7D6646A"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2</w:t>
      </w:r>
      <w:r w:rsidRPr="005540E2">
        <w:rPr>
          <w:rFonts w:hint="eastAsia"/>
          <w:bCs/>
          <w:sz w:val="24"/>
        </w:rPr>
        <w:t>）交易所上市交易或挂牌转让的不含权固定收益品种，选取估值日第三方估值基准服务机构提供的相应品种当日的估值全价；交易所上市交易或挂牌转让的含权固定收益品种，选取估值日第三方估值基准服务机构提供的相应品种当日的唯一估值全价或推荐估值全价；</w:t>
      </w:r>
    </w:p>
    <w:p w14:paraId="36D70722"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3</w:t>
      </w:r>
      <w:r w:rsidRPr="005540E2">
        <w:rPr>
          <w:rFonts w:hint="eastAsia"/>
          <w:bCs/>
          <w:sz w:val="24"/>
        </w:rPr>
        <w:t>）交易所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23967E9" w14:textId="77777777" w:rsidR="005540E2" w:rsidRPr="005540E2" w:rsidRDefault="005540E2" w:rsidP="005540E2">
      <w:pPr>
        <w:spacing w:line="360" w:lineRule="auto"/>
        <w:ind w:firstLineChars="200" w:firstLine="480"/>
        <w:rPr>
          <w:bCs/>
          <w:sz w:val="24"/>
        </w:rPr>
      </w:pPr>
      <w:r w:rsidRPr="005540E2">
        <w:rPr>
          <w:rFonts w:hint="eastAsia"/>
          <w:bCs/>
          <w:sz w:val="24"/>
        </w:rPr>
        <w:lastRenderedPageBreak/>
        <w:t>（</w:t>
      </w:r>
      <w:r w:rsidRPr="005540E2">
        <w:rPr>
          <w:rFonts w:hint="eastAsia"/>
          <w:bCs/>
          <w:sz w:val="24"/>
        </w:rPr>
        <w:t>4</w:t>
      </w:r>
      <w:r w:rsidRPr="005540E2">
        <w:rPr>
          <w:rFonts w:hint="eastAsia"/>
          <w:bCs/>
          <w:sz w:val="24"/>
        </w:rPr>
        <w:t>）交易所上市不存在活跃市场的有价证券，采用估值技术确定公允价值。</w:t>
      </w:r>
    </w:p>
    <w:p w14:paraId="1F543734" w14:textId="59A61956" w:rsidR="005540E2" w:rsidRPr="005540E2" w:rsidRDefault="005540E2" w:rsidP="005540E2">
      <w:pPr>
        <w:spacing w:line="360" w:lineRule="auto"/>
        <w:ind w:firstLineChars="200" w:firstLine="480"/>
        <w:rPr>
          <w:bCs/>
          <w:sz w:val="24"/>
        </w:rPr>
      </w:pPr>
      <w:r w:rsidRPr="005540E2">
        <w:rPr>
          <w:rFonts w:hint="eastAsia"/>
          <w:bCs/>
          <w:sz w:val="24"/>
        </w:rPr>
        <w:t>3</w:t>
      </w:r>
      <w:r>
        <w:rPr>
          <w:rFonts w:hint="eastAsia"/>
          <w:bCs/>
          <w:sz w:val="24"/>
        </w:rPr>
        <w:t>．</w:t>
      </w:r>
      <w:r w:rsidRPr="005540E2">
        <w:rPr>
          <w:rFonts w:hint="eastAsia"/>
          <w:bCs/>
          <w:sz w:val="24"/>
        </w:rPr>
        <w:t>处于未上市期间或流通受限的有价证券应区分如下情况处理：</w:t>
      </w:r>
    </w:p>
    <w:p w14:paraId="7CD68C8B"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1</w:t>
      </w:r>
      <w:r w:rsidRPr="005540E2">
        <w:rPr>
          <w:rFonts w:hint="eastAsia"/>
          <w:bCs/>
          <w:sz w:val="24"/>
        </w:rPr>
        <w:t>）送股、转增股、配股和公开增发的新股，按估值日在证券交易所挂牌的同一股票的估值方法估值；该日无交易的，以最近一日的市价（收盘价）估值；</w:t>
      </w:r>
    </w:p>
    <w:p w14:paraId="4DDABBB6"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2</w:t>
      </w:r>
      <w:r w:rsidRPr="005540E2">
        <w:rPr>
          <w:rFonts w:hint="eastAsia"/>
          <w:bCs/>
          <w:sz w:val="24"/>
        </w:rPr>
        <w:t>）首次公开发行未上市的股票，采用估值技术确定公允价值；</w:t>
      </w:r>
    </w:p>
    <w:p w14:paraId="5B6021D6"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3</w:t>
      </w:r>
      <w:r w:rsidRPr="005540E2">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11FEFE17" w14:textId="77777777" w:rsidR="005540E2" w:rsidRPr="005540E2" w:rsidRDefault="005540E2" w:rsidP="005540E2">
      <w:pPr>
        <w:spacing w:line="360" w:lineRule="auto"/>
        <w:ind w:firstLineChars="200" w:firstLine="480"/>
        <w:rPr>
          <w:bCs/>
          <w:sz w:val="24"/>
        </w:rPr>
      </w:pPr>
      <w:r w:rsidRPr="005540E2">
        <w:rPr>
          <w:rFonts w:hint="eastAsia"/>
          <w:bCs/>
          <w:sz w:val="24"/>
        </w:rPr>
        <w:t>（</w:t>
      </w:r>
      <w:r w:rsidRPr="005540E2">
        <w:rPr>
          <w:rFonts w:hint="eastAsia"/>
          <w:bCs/>
          <w:sz w:val="24"/>
        </w:rPr>
        <w:t>4</w:t>
      </w:r>
      <w:r w:rsidRPr="005540E2">
        <w:rPr>
          <w:rFonts w:hint="eastAsia"/>
          <w:bCs/>
          <w:sz w:val="24"/>
        </w:rPr>
        <w:t>）交易所未上市或未挂牌转让且不存在活跃市场的固定收益品种，应采用在当前情况下适用并且有足够可利用数据和其他信息支持的估值技术确定其公允价值。</w:t>
      </w:r>
    </w:p>
    <w:p w14:paraId="7E6668AE" w14:textId="37AE3C48" w:rsidR="005540E2" w:rsidRPr="005540E2" w:rsidRDefault="005540E2" w:rsidP="005540E2">
      <w:pPr>
        <w:spacing w:line="360" w:lineRule="auto"/>
        <w:ind w:firstLineChars="200" w:firstLine="480"/>
        <w:rPr>
          <w:bCs/>
          <w:sz w:val="24"/>
        </w:rPr>
      </w:pPr>
      <w:r w:rsidRPr="005540E2">
        <w:rPr>
          <w:rFonts w:hint="eastAsia"/>
          <w:bCs/>
          <w:sz w:val="24"/>
        </w:rPr>
        <w:t>4</w:t>
      </w:r>
      <w:r>
        <w:rPr>
          <w:rFonts w:hint="eastAsia"/>
          <w:bCs/>
          <w:sz w:val="24"/>
        </w:rPr>
        <w:t>．</w:t>
      </w:r>
      <w:r w:rsidRPr="005540E2">
        <w:rPr>
          <w:rFonts w:hint="eastAsia"/>
          <w:bCs/>
          <w:sz w:val="24"/>
        </w:rPr>
        <w:t>对全国银行间市场上不含权的固定收益品种，选取估值日第三方估值基准服务机构提供的相应品种当日的估值全价；对全国银行间市场上含权的固定收益品种，选取估值日第三方估值基准服务机构提供的相应品种当日的唯一估值全价或推荐估值全价。</w:t>
      </w:r>
    </w:p>
    <w:p w14:paraId="39CAE17C" w14:textId="77777777" w:rsidR="005540E2" w:rsidRPr="005540E2" w:rsidRDefault="005540E2" w:rsidP="005540E2">
      <w:pPr>
        <w:spacing w:line="360" w:lineRule="auto"/>
        <w:ind w:firstLineChars="200" w:firstLine="480"/>
        <w:rPr>
          <w:bCs/>
          <w:sz w:val="24"/>
        </w:rPr>
      </w:pPr>
      <w:r w:rsidRPr="005540E2">
        <w:rPr>
          <w:rFonts w:hint="eastAsia"/>
          <w:bCs/>
          <w:sz w:val="24"/>
        </w:rPr>
        <w:t>对全国银行间市场未上市或未挂牌转让且不存在活跃市场的固定收益品种，应采用在当前情况下适用并且有足够可利用数据和其他信息支持的估值技术确定其公允价值。</w:t>
      </w:r>
    </w:p>
    <w:p w14:paraId="373918B5" w14:textId="707B4D41" w:rsidR="005540E2" w:rsidRPr="005540E2" w:rsidRDefault="005540E2" w:rsidP="005540E2">
      <w:pPr>
        <w:spacing w:line="360" w:lineRule="auto"/>
        <w:ind w:firstLineChars="200" w:firstLine="480"/>
        <w:rPr>
          <w:bCs/>
          <w:sz w:val="24"/>
        </w:rPr>
      </w:pPr>
      <w:r w:rsidRPr="005540E2">
        <w:rPr>
          <w:rFonts w:hint="eastAsia"/>
          <w:bCs/>
          <w:sz w:val="24"/>
        </w:rPr>
        <w:t>5</w:t>
      </w:r>
      <w:r>
        <w:rPr>
          <w:rFonts w:hint="eastAsia"/>
          <w:bCs/>
          <w:sz w:val="24"/>
        </w:rPr>
        <w:t>．</w:t>
      </w:r>
      <w:r w:rsidRPr="005540E2">
        <w:rPr>
          <w:rFonts w:hint="eastAsia"/>
          <w:bCs/>
          <w:sz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2475963F" w14:textId="5687C547" w:rsidR="005540E2" w:rsidRPr="005540E2" w:rsidRDefault="005540E2" w:rsidP="005540E2">
      <w:pPr>
        <w:spacing w:line="360" w:lineRule="auto"/>
        <w:ind w:firstLineChars="200" w:firstLine="480"/>
        <w:rPr>
          <w:bCs/>
          <w:sz w:val="24"/>
        </w:rPr>
      </w:pPr>
      <w:r w:rsidRPr="005540E2">
        <w:rPr>
          <w:rFonts w:hint="eastAsia"/>
          <w:bCs/>
          <w:sz w:val="24"/>
        </w:rPr>
        <w:t>6</w:t>
      </w:r>
      <w:r>
        <w:rPr>
          <w:rFonts w:hint="eastAsia"/>
          <w:bCs/>
          <w:sz w:val="24"/>
        </w:rPr>
        <w:t>．</w:t>
      </w:r>
      <w:r w:rsidRPr="005540E2">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托管人协商一致后，可采用价格区间中的数据作为该债券投资品种的公允价值。</w:t>
      </w:r>
    </w:p>
    <w:p w14:paraId="4E11B518" w14:textId="464BFFA4" w:rsidR="005540E2" w:rsidRPr="005540E2" w:rsidRDefault="005540E2" w:rsidP="005540E2">
      <w:pPr>
        <w:spacing w:line="360" w:lineRule="auto"/>
        <w:ind w:firstLineChars="200" w:firstLine="480"/>
        <w:rPr>
          <w:bCs/>
          <w:sz w:val="24"/>
        </w:rPr>
      </w:pPr>
      <w:r w:rsidRPr="005540E2">
        <w:rPr>
          <w:rFonts w:hint="eastAsia"/>
          <w:bCs/>
          <w:sz w:val="24"/>
        </w:rPr>
        <w:t>7</w:t>
      </w:r>
      <w:r>
        <w:rPr>
          <w:rFonts w:hint="eastAsia"/>
          <w:bCs/>
          <w:sz w:val="24"/>
        </w:rPr>
        <w:t>．</w:t>
      </w:r>
      <w:r w:rsidRPr="005540E2">
        <w:rPr>
          <w:rFonts w:hint="eastAsia"/>
          <w:bCs/>
          <w:sz w:val="24"/>
        </w:rPr>
        <w:t>同一证券同时在两个或两个以上市场交易的，按证券所处的市场分别估值。</w:t>
      </w:r>
    </w:p>
    <w:p w14:paraId="185D3B21" w14:textId="39C0A8BB" w:rsidR="005540E2" w:rsidRPr="005540E2" w:rsidRDefault="005540E2" w:rsidP="005540E2">
      <w:pPr>
        <w:spacing w:line="360" w:lineRule="auto"/>
        <w:ind w:firstLineChars="200" w:firstLine="480"/>
        <w:rPr>
          <w:bCs/>
          <w:sz w:val="24"/>
        </w:rPr>
      </w:pPr>
      <w:r w:rsidRPr="005540E2">
        <w:rPr>
          <w:rFonts w:hint="eastAsia"/>
          <w:bCs/>
          <w:sz w:val="24"/>
        </w:rPr>
        <w:t>8</w:t>
      </w:r>
      <w:r>
        <w:rPr>
          <w:rFonts w:hint="eastAsia"/>
          <w:bCs/>
          <w:sz w:val="24"/>
        </w:rPr>
        <w:t>．</w:t>
      </w:r>
      <w:r w:rsidRPr="005540E2">
        <w:rPr>
          <w:rFonts w:hint="eastAsia"/>
          <w:bCs/>
          <w:sz w:val="24"/>
        </w:rPr>
        <w:t>本基金投资存托凭证的估值核算，依照境内上市交易的股票执行。</w:t>
      </w:r>
    </w:p>
    <w:p w14:paraId="4BB2198F" w14:textId="1FEF3FD4" w:rsidR="005540E2" w:rsidRPr="005540E2" w:rsidRDefault="005540E2" w:rsidP="005540E2">
      <w:pPr>
        <w:spacing w:line="360" w:lineRule="auto"/>
        <w:ind w:firstLineChars="200" w:firstLine="480"/>
        <w:rPr>
          <w:bCs/>
          <w:sz w:val="24"/>
        </w:rPr>
      </w:pPr>
      <w:r w:rsidRPr="005540E2">
        <w:rPr>
          <w:rFonts w:hint="eastAsia"/>
          <w:bCs/>
          <w:sz w:val="24"/>
        </w:rPr>
        <w:lastRenderedPageBreak/>
        <w:t>9</w:t>
      </w:r>
      <w:r>
        <w:rPr>
          <w:rFonts w:hint="eastAsia"/>
          <w:bCs/>
          <w:sz w:val="24"/>
        </w:rPr>
        <w:t>．</w:t>
      </w:r>
      <w:r w:rsidRPr="005540E2">
        <w:rPr>
          <w:rFonts w:hint="eastAsia"/>
          <w:bCs/>
          <w:sz w:val="24"/>
        </w:rPr>
        <w:t>估值中的汇率选取原则：港股通投资持有外币证券资产估值涉及到的主要货币对人民币汇率，以估值日中国人民银行或其授权机构公布的人民币汇率中间价为准。</w:t>
      </w:r>
    </w:p>
    <w:p w14:paraId="0A8B621D" w14:textId="12CCA730" w:rsidR="005540E2" w:rsidRDefault="005540E2" w:rsidP="005540E2">
      <w:pPr>
        <w:spacing w:line="360" w:lineRule="auto"/>
        <w:ind w:firstLineChars="200" w:firstLine="480"/>
        <w:rPr>
          <w:bCs/>
          <w:sz w:val="24"/>
        </w:rPr>
      </w:pPr>
      <w:r w:rsidRPr="005540E2">
        <w:rPr>
          <w:rFonts w:hint="eastAsia"/>
          <w:bCs/>
          <w:sz w:val="24"/>
        </w:rPr>
        <w:t>若本基金现行估值汇率不再发布或发生重大变更，或市场上出现更为公允、更适合本基金的估值汇率时，基金管理人与基金托管人协商一致后可根据实际情况调整本基金的估值汇率。</w:t>
      </w:r>
    </w:p>
    <w:p w14:paraId="37A59DA2" w14:textId="1839286A" w:rsidR="00DC73CA" w:rsidRPr="005540E2" w:rsidRDefault="00DC73CA" w:rsidP="005540E2">
      <w:pPr>
        <w:spacing w:line="360" w:lineRule="auto"/>
        <w:ind w:firstLineChars="200" w:firstLine="480"/>
        <w:rPr>
          <w:bCs/>
          <w:sz w:val="24"/>
        </w:rPr>
      </w:pPr>
      <w:r w:rsidRPr="00DC73CA">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203F99E0" w14:textId="65B3F2B7" w:rsidR="005540E2" w:rsidRPr="005540E2" w:rsidRDefault="005540E2" w:rsidP="005540E2">
      <w:pPr>
        <w:spacing w:line="360" w:lineRule="auto"/>
        <w:ind w:firstLineChars="200" w:firstLine="480"/>
        <w:rPr>
          <w:bCs/>
          <w:sz w:val="24"/>
        </w:rPr>
      </w:pPr>
      <w:r w:rsidRPr="005540E2">
        <w:rPr>
          <w:rFonts w:hint="eastAsia"/>
          <w:bCs/>
          <w:sz w:val="24"/>
        </w:rPr>
        <w:t>10</w:t>
      </w:r>
      <w:r>
        <w:rPr>
          <w:rFonts w:hint="eastAsia"/>
          <w:bCs/>
          <w:sz w:val="24"/>
        </w:rPr>
        <w:t>．</w:t>
      </w:r>
      <w:r w:rsidRPr="005540E2">
        <w:rPr>
          <w:rFonts w:hint="eastAsia"/>
          <w:bCs/>
          <w:sz w:val="24"/>
        </w:rPr>
        <w:t>当本基金发生大额申购或赎回情形时，基金管理人可以采用摆动定价机制，以确保基金估值的公平性。</w:t>
      </w:r>
    </w:p>
    <w:p w14:paraId="42FEE7B6" w14:textId="3269C219" w:rsidR="005540E2" w:rsidRPr="005540E2" w:rsidRDefault="005540E2" w:rsidP="005540E2">
      <w:pPr>
        <w:spacing w:line="360" w:lineRule="auto"/>
        <w:ind w:firstLineChars="200" w:firstLine="480"/>
        <w:rPr>
          <w:bCs/>
          <w:sz w:val="24"/>
        </w:rPr>
      </w:pPr>
      <w:r w:rsidRPr="005540E2">
        <w:rPr>
          <w:rFonts w:hint="eastAsia"/>
          <w:bCs/>
          <w:sz w:val="24"/>
        </w:rPr>
        <w:t>11</w:t>
      </w:r>
      <w:r>
        <w:rPr>
          <w:rFonts w:hint="eastAsia"/>
          <w:bCs/>
          <w:sz w:val="24"/>
        </w:rPr>
        <w:t>．</w:t>
      </w:r>
      <w:r w:rsidRPr="005540E2">
        <w:rPr>
          <w:rFonts w:hint="eastAsia"/>
          <w:bCs/>
          <w:sz w:val="24"/>
        </w:rPr>
        <w:t>如有确凿证据表明按上述方法进行估值不能客观反映其公允价值的，基金管理人可根据具体情况与基金托管人商定后，按最能反映公允价值的价格估值。</w:t>
      </w:r>
    </w:p>
    <w:p w14:paraId="3922D1C6" w14:textId="3B5D040E" w:rsidR="00353BD1" w:rsidRDefault="005540E2">
      <w:pPr>
        <w:spacing w:line="360" w:lineRule="auto"/>
        <w:ind w:firstLineChars="200" w:firstLine="480"/>
        <w:rPr>
          <w:bCs/>
          <w:sz w:val="24"/>
        </w:rPr>
      </w:pPr>
      <w:r w:rsidRPr="005540E2">
        <w:rPr>
          <w:rFonts w:hint="eastAsia"/>
          <w:bCs/>
          <w:sz w:val="24"/>
        </w:rPr>
        <w:t>12</w:t>
      </w:r>
      <w:r>
        <w:rPr>
          <w:rFonts w:hint="eastAsia"/>
          <w:bCs/>
          <w:sz w:val="24"/>
        </w:rPr>
        <w:t>．</w:t>
      </w:r>
      <w:r w:rsidRPr="005540E2">
        <w:rPr>
          <w:rFonts w:hint="eastAsia"/>
          <w:bCs/>
          <w:sz w:val="24"/>
        </w:rPr>
        <w:t>相关法律法规以及监管部门有强制规定的，从其规定。如有新增事项，按国家最新规定估值</w:t>
      </w:r>
      <w:r w:rsidR="00064D22">
        <w:rPr>
          <w:rFonts w:hint="eastAsia"/>
          <w:bCs/>
          <w:sz w:val="24"/>
        </w:rPr>
        <w:t>。</w:t>
      </w:r>
    </w:p>
    <w:p w14:paraId="07D67C5D" w14:textId="77777777" w:rsidR="00353BD1" w:rsidRDefault="00064D22">
      <w:pPr>
        <w:spacing w:line="360" w:lineRule="auto"/>
        <w:ind w:firstLineChars="200" w:firstLine="480"/>
        <w:rPr>
          <w:bCs/>
          <w:sz w:val="24"/>
        </w:rPr>
      </w:pPr>
      <w:r>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A6DB0AF" w14:textId="77777777" w:rsidR="00353BD1" w:rsidRDefault="00064D22">
      <w:pPr>
        <w:adjustRightInd w:val="0"/>
        <w:snapToGrid w:val="0"/>
        <w:spacing w:line="360" w:lineRule="auto"/>
        <w:ind w:firstLine="480"/>
        <w:rPr>
          <w:rFonts w:ascii="宋体" w:hAnsi="宋体"/>
          <w:sz w:val="24"/>
          <w:szCs w:val="21"/>
        </w:rPr>
      </w:pPr>
      <w:r>
        <w:rPr>
          <w:rFonts w:ascii="宋体" w:hAnsi="宋体"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盖章的书面说明后，按照基金管理人对基金资产净值的计算结果对外予以公布。</w:t>
      </w:r>
    </w:p>
    <w:p w14:paraId="6D200C8D" w14:textId="7A714DF8" w:rsidR="00353BD1" w:rsidRDefault="00064D22">
      <w:pPr>
        <w:adjustRightInd w:val="0"/>
        <w:snapToGrid w:val="0"/>
        <w:spacing w:line="360" w:lineRule="auto"/>
        <w:ind w:firstLineChars="200" w:firstLine="480"/>
        <w:rPr>
          <w:rStyle w:val="read"/>
          <w:rFonts w:ascii="宋体" w:hAnsi="宋体"/>
          <w:sz w:val="24"/>
        </w:rPr>
      </w:pPr>
      <w:r>
        <w:rPr>
          <w:rStyle w:val="read"/>
          <w:rFonts w:ascii="宋体" w:hAnsi="宋体" w:cs="Arial" w:hint="eastAsia"/>
          <w:sz w:val="24"/>
        </w:rPr>
        <w:t>基金管理人、基金托管人按估值方法的</w:t>
      </w:r>
      <w:r w:rsidR="003D2A48">
        <w:rPr>
          <w:rStyle w:val="read"/>
          <w:rFonts w:ascii="宋体" w:hAnsi="宋体" w:cs="Arial" w:hint="eastAsia"/>
          <w:sz w:val="24"/>
        </w:rPr>
        <w:t>第</w:t>
      </w:r>
      <w:r w:rsidR="003D2A48">
        <w:rPr>
          <w:rStyle w:val="read"/>
          <w:rFonts w:ascii="宋体" w:hAnsi="宋体" w:cs="Arial"/>
          <w:sz w:val="24"/>
        </w:rPr>
        <w:t>1</w:t>
      </w:r>
      <w:r w:rsidR="0064709B">
        <w:rPr>
          <w:rStyle w:val="read"/>
          <w:rFonts w:ascii="宋体" w:hAnsi="宋体" w:cs="Arial"/>
          <w:sz w:val="24"/>
        </w:rPr>
        <w:t>1</w:t>
      </w:r>
      <w:r>
        <w:rPr>
          <w:rStyle w:val="read"/>
          <w:rFonts w:ascii="宋体" w:hAnsi="宋体" w:cs="Arial" w:hint="eastAsia"/>
          <w:sz w:val="24"/>
        </w:rPr>
        <w:t>项进行估值时，所造成的误差不作为基金份</w:t>
      </w:r>
      <w:r>
        <w:rPr>
          <w:rStyle w:val="read"/>
          <w:rFonts w:ascii="宋体" w:hAnsi="宋体" w:hint="eastAsia"/>
          <w:sz w:val="24"/>
        </w:rPr>
        <w:t>额净值错误处理。</w:t>
      </w:r>
    </w:p>
    <w:p w14:paraId="018E7B68" w14:textId="77777777" w:rsidR="00353BD1" w:rsidRDefault="00064D22">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（三）基金份额净值错误的处理方式</w:t>
      </w:r>
    </w:p>
    <w:p w14:paraId="560891F0" w14:textId="5E1B8E87" w:rsidR="00C8343C" w:rsidRPr="00C8343C" w:rsidRDefault="00C8343C">
      <w:pPr>
        <w:adjustRightInd w:val="0"/>
        <w:snapToGrid w:val="0"/>
        <w:spacing w:line="360" w:lineRule="auto"/>
        <w:ind w:firstLineChars="200" w:firstLine="480"/>
        <w:rPr>
          <w:rStyle w:val="read"/>
          <w:rFonts w:ascii="宋体" w:hAnsi="宋体"/>
          <w:sz w:val="24"/>
        </w:rPr>
      </w:pPr>
      <w:r w:rsidRPr="00C8343C">
        <w:rPr>
          <w:rStyle w:val="read"/>
          <w:rFonts w:ascii="宋体" w:hAnsi="宋体" w:hint="eastAsia"/>
          <w:sz w:val="24"/>
        </w:rPr>
        <w:t>基金管理人和基金托管人将采取必要、适当、合理的措施确保基金资产估值的准确性、及时性。当任一类基金份额净值小数点后4位以内(含第4位)发生估值</w:t>
      </w:r>
      <w:r w:rsidRPr="00C8343C">
        <w:rPr>
          <w:rStyle w:val="read"/>
          <w:rFonts w:ascii="宋体" w:hAnsi="宋体" w:hint="eastAsia"/>
          <w:sz w:val="24"/>
        </w:rPr>
        <w:lastRenderedPageBreak/>
        <w:t>错误时，视为该类基金份额净值错误</w:t>
      </w:r>
      <w:r w:rsidR="00312D29">
        <w:rPr>
          <w:rStyle w:val="read"/>
          <w:rFonts w:ascii="宋体" w:hAnsi="宋体" w:hint="eastAsia"/>
          <w:sz w:val="24"/>
        </w:rPr>
        <w:t>。</w:t>
      </w:r>
    </w:p>
    <w:p w14:paraId="47D0AAD9" w14:textId="5BD9A2A9" w:rsidR="00312D29" w:rsidRPr="00312D29" w:rsidRDefault="00312D29" w:rsidP="00312D29">
      <w:pPr>
        <w:adjustRightInd w:val="0"/>
        <w:snapToGrid w:val="0"/>
        <w:spacing w:line="360" w:lineRule="auto"/>
        <w:ind w:firstLineChars="200" w:firstLine="480"/>
        <w:rPr>
          <w:rStyle w:val="read"/>
          <w:rFonts w:ascii="宋体" w:hAnsi="宋体"/>
          <w:sz w:val="24"/>
        </w:rPr>
      </w:pPr>
      <w:r>
        <w:rPr>
          <w:rStyle w:val="read"/>
          <w:rFonts w:ascii="宋体" w:hAnsi="宋体"/>
          <w:sz w:val="24"/>
        </w:rPr>
        <w:t>1</w:t>
      </w:r>
      <w:r>
        <w:rPr>
          <w:rStyle w:val="read"/>
          <w:rFonts w:ascii="宋体" w:hAnsi="宋体" w:hint="eastAsia"/>
          <w:sz w:val="24"/>
        </w:rPr>
        <w:t>.</w:t>
      </w:r>
      <w:r w:rsidRPr="00312D29">
        <w:rPr>
          <w:rStyle w:val="read"/>
          <w:rFonts w:ascii="宋体" w:hAnsi="宋体" w:hint="eastAsia"/>
          <w:sz w:val="24"/>
        </w:rPr>
        <w:t>基金份额净值估值错误处理的方法如下：</w:t>
      </w:r>
    </w:p>
    <w:p w14:paraId="2B372192" w14:textId="77777777" w:rsidR="00312D29" w:rsidRPr="00312D29" w:rsidRDefault="00312D29" w:rsidP="00312D29">
      <w:pPr>
        <w:adjustRightInd w:val="0"/>
        <w:snapToGrid w:val="0"/>
        <w:spacing w:line="360" w:lineRule="auto"/>
        <w:ind w:firstLineChars="200" w:firstLine="480"/>
        <w:rPr>
          <w:rStyle w:val="read"/>
          <w:rFonts w:ascii="宋体" w:hAnsi="宋体"/>
          <w:sz w:val="24"/>
        </w:rPr>
      </w:pPr>
      <w:r w:rsidRPr="00312D29">
        <w:rPr>
          <w:rStyle w:val="read"/>
          <w:rFonts w:ascii="宋体" w:hAnsi="宋体" w:hint="eastAsia"/>
          <w:sz w:val="24"/>
        </w:rPr>
        <w:t>（1）基金份额净值计算出现错误时，基金管理人应当立即予以纠正，通报基金托管人，并采取合理的措施防止损失进一步扩大。</w:t>
      </w:r>
    </w:p>
    <w:p w14:paraId="5220F3C3" w14:textId="0F7511A7" w:rsidR="00353BD1" w:rsidRDefault="00312D29" w:rsidP="00312D29">
      <w:pPr>
        <w:adjustRightInd w:val="0"/>
        <w:snapToGrid w:val="0"/>
        <w:spacing w:line="360" w:lineRule="auto"/>
        <w:ind w:firstLineChars="200" w:firstLine="480"/>
        <w:rPr>
          <w:rStyle w:val="read"/>
          <w:rFonts w:ascii="宋体" w:hAnsi="宋体"/>
          <w:sz w:val="24"/>
        </w:rPr>
      </w:pPr>
      <w:r w:rsidRPr="00312D29">
        <w:rPr>
          <w:rStyle w:val="read"/>
          <w:rFonts w:ascii="宋体" w:hAnsi="宋体" w:hint="eastAsia"/>
          <w:sz w:val="24"/>
        </w:rPr>
        <w:t>（2）任一类错误偏差达到该类基金份额净值的0.25%时，基金管理人应当通报基金托管人并报中国证监会备案；任一类错误偏差达到该类基金份额净值的0.5%时，基金管理人应当公告，并报中国证监会备案。</w:t>
      </w:r>
      <w:r w:rsidR="00064D22">
        <w:rPr>
          <w:rStyle w:val="read"/>
          <w:rFonts w:ascii="宋体" w:hAnsi="宋体" w:hint="eastAsia"/>
          <w:sz w:val="24"/>
        </w:rPr>
        <w:t>当发生净值计算错误时，由基金管理人负责处理，由此给基金份额持有人和基金造成损失的，应由基金管理人先行赔付，基金管理人按差错情形，有权向其他当事人追偿。</w:t>
      </w:r>
    </w:p>
    <w:p w14:paraId="55345568" w14:textId="77777777" w:rsidR="00353BD1" w:rsidRDefault="00064D22">
      <w:pPr>
        <w:adjustRightInd w:val="0"/>
        <w:snapToGrid w:val="0"/>
        <w:spacing w:line="360" w:lineRule="auto"/>
        <w:ind w:firstLineChars="200" w:firstLine="480"/>
        <w:rPr>
          <w:rStyle w:val="read"/>
          <w:rFonts w:ascii="宋体" w:hAnsi="宋体"/>
          <w:sz w:val="24"/>
        </w:rPr>
      </w:pPr>
      <w:r>
        <w:rPr>
          <w:rStyle w:val="read"/>
          <w:rFonts w:ascii="宋体" w:hAnsi="宋体" w:hint="eastAsia"/>
          <w:sz w:val="24"/>
        </w:rPr>
        <w:t>2.当基金份额净值计算差错给基金和基金份额持有人造成损失需要进行赔偿时，基金管理人和基金托管人根据实际情况界定双方承担的责任，经确认后按以下条款进行赔偿：</w:t>
      </w:r>
    </w:p>
    <w:p w14:paraId="53BD6CB8" w14:textId="77777777" w:rsidR="00353BD1" w:rsidRDefault="00064D22">
      <w:pPr>
        <w:adjustRightInd w:val="0"/>
        <w:snapToGrid w:val="0"/>
        <w:spacing w:line="360" w:lineRule="auto"/>
        <w:ind w:firstLineChars="200" w:firstLine="480"/>
        <w:rPr>
          <w:rFonts w:ascii="宋体" w:hAnsi="宋体" w:cs="Arial"/>
          <w:sz w:val="24"/>
        </w:rPr>
      </w:pPr>
      <w:r>
        <w:rPr>
          <w:rStyle w:val="read"/>
          <w:rFonts w:ascii="宋体" w:hAnsi="宋体"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宋体" w:hAnsi="宋体" w:cs="Arial" w:hint="eastAsia"/>
          <w:sz w:val="24"/>
        </w:rPr>
        <w:t>损失，由基金管理人负责赔付。</w:t>
      </w:r>
    </w:p>
    <w:p w14:paraId="2500A4F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w:t>
      </w:r>
      <w:r>
        <w:rPr>
          <w:rFonts w:ascii="宋体" w:hAnsi="宋体"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4C459B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(3)如基金管理人和基金托管人对</w:t>
      </w:r>
      <w:r>
        <w:rPr>
          <w:rFonts w:ascii="宋体" w:hAnsi="宋体" w:hint="eastAsia"/>
          <w:kern w:val="0"/>
          <w:sz w:val="24"/>
        </w:rPr>
        <w:t>各类</w:t>
      </w:r>
      <w:r>
        <w:rPr>
          <w:rFonts w:ascii="宋体" w:hAnsi="宋体" w:cs="Arial" w:hint="eastAsia"/>
          <w:sz w:val="24"/>
        </w:rPr>
        <w:t>基金份额净值的计算结果，虽然多次重新计算和核对，尚不能达成一致时，为避免不能按时公布</w:t>
      </w:r>
      <w:r>
        <w:rPr>
          <w:rFonts w:ascii="宋体" w:hAnsi="宋体" w:hint="eastAsia"/>
          <w:kern w:val="0"/>
          <w:sz w:val="24"/>
        </w:rPr>
        <w:t>各类</w:t>
      </w:r>
      <w:r>
        <w:rPr>
          <w:rFonts w:ascii="宋体" w:hAnsi="宋体" w:cs="Arial" w:hint="eastAsia"/>
          <w:sz w:val="24"/>
        </w:rPr>
        <w:t>基金份额净值的情形，以基金管理人的计算结果对外公布，由此给基金份额持有人和基金造成的损失，由基金管理人负责赔付。</w:t>
      </w:r>
    </w:p>
    <w:p w14:paraId="1BB282B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w:t>
      </w:r>
      <w:r>
        <w:rPr>
          <w:rFonts w:ascii="宋体" w:hAnsi="宋体"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2A4E94E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由于证券交易所及登记结算公司等第三方机构发送的数据错误，或由于其他不可抗力原因，基金管理人和基金托管人虽然已经采取必要、适当、合理的措施进行检查，但是未能发现该错误而造成的基金份额净值计算错误，基金管理人、基</w:t>
      </w:r>
      <w:r>
        <w:rPr>
          <w:rFonts w:ascii="宋体" w:hAnsi="宋体" w:cs="Arial" w:hint="eastAsia"/>
          <w:sz w:val="24"/>
        </w:rPr>
        <w:lastRenderedPageBreak/>
        <w:t>金托管人免除赔偿责任。但基金管理人、基金托管人应积极采取必要的措施减轻或消除由此造成的影响。</w:t>
      </w:r>
    </w:p>
    <w:p w14:paraId="23B25E1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4.基金管理人和基金托管人由于各自技术系统设置而产生的净值计算尾差，以基金管理人计算结果为准。</w:t>
      </w:r>
    </w:p>
    <w:p w14:paraId="0CD191B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5.前述内容如法律法规或者监管部门另有规定的，从其规定。如果行业另有通行做法，双方当事人应本着平等和保护基金份额持有人利益的原则进行协商。</w:t>
      </w:r>
    </w:p>
    <w:p w14:paraId="5ECF299C"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（四）暂停估值与公告基金份额净值的情形</w:t>
      </w:r>
    </w:p>
    <w:p w14:paraId="4C7C3E9B"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1.基金投资所涉及的证券交易市场遇法定节假日或因其他原因暂停营业时；</w:t>
      </w:r>
    </w:p>
    <w:p w14:paraId="557AA09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2.因不可抗力致使基金管理人、基金托管人无法准确评估基金资产价值时；</w:t>
      </w:r>
    </w:p>
    <w:p w14:paraId="5C6FAA5A" w14:textId="1932E0DA"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3.</w:t>
      </w:r>
      <w:r w:rsidR="001115B3" w:rsidRPr="001115B3">
        <w:rPr>
          <w:rFonts w:ascii="宋体" w:hAnsi="宋体" w:cs="Arial" w:hint="eastAsia"/>
          <w:sz w:val="24"/>
        </w:rPr>
        <w:t>当特定资产占前一估值日基金资产净值50%以上的，经与基金托管人协商确认后，基金管理人应当暂停估值；</w:t>
      </w:r>
    </w:p>
    <w:p w14:paraId="6653C476" w14:textId="0D78D06A" w:rsidR="009F0186"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4.</w:t>
      </w:r>
      <w:r w:rsidR="009C797C" w:rsidRPr="009C797C">
        <w:rPr>
          <w:rFonts w:ascii="宋体" w:hAnsi="宋体" w:cs="Arial" w:hint="eastAsia"/>
          <w:sz w:val="24"/>
        </w:rPr>
        <w:t>占本基金资产净值相当比例的被投资基金暂停估值时，本基金可以暂停估值；</w:t>
      </w:r>
    </w:p>
    <w:p w14:paraId="42E7354F" w14:textId="6662095A" w:rsidR="00353BD1" w:rsidRDefault="009F0186">
      <w:pPr>
        <w:adjustRightInd w:val="0"/>
        <w:snapToGrid w:val="0"/>
        <w:spacing w:line="360" w:lineRule="auto"/>
        <w:ind w:firstLineChars="200" w:firstLine="480"/>
        <w:outlineLvl w:val="0"/>
        <w:rPr>
          <w:rFonts w:ascii="宋体" w:hAnsi="宋体" w:cs="Arial"/>
          <w:sz w:val="24"/>
        </w:rPr>
      </w:pPr>
      <w:r>
        <w:rPr>
          <w:rFonts w:ascii="宋体" w:hAnsi="宋体" w:cs="Arial"/>
          <w:sz w:val="24"/>
        </w:rPr>
        <w:t>5.</w:t>
      </w:r>
      <w:r w:rsidR="00064D22">
        <w:rPr>
          <w:rFonts w:ascii="宋体" w:hAnsi="宋体" w:cs="Arial" w:hint="eastAsia"/>
          <w:sz w:val="24"/>
        </w:rPr>
        <w:t>中国证监会和《基金合同》认定的其他情形。</w:t>
      </w:r>
    </w:p>
    <w:p w14:paraId="3AF4DFC8"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（五）实施侧袋机制期间的基金资产估值</w:t>
      </w:r>
    </w:p>
    <w:p w14:paraId="5F39CB7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本基金实施侧袋机制的，应根据本部分的约定对主袋账户资产进行估值并披露主袋账户的基金净值信息，暂停披露侧袋账户份额净值。</w:t>
      </w:r>
    </w:p>
    <w:p w14:paraId="473F0C23"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（六）基金会计制度</w:t>
      </w:r>
    </w:p>
    <w:p w14:paraId="58C1833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按国家有关部门规定的会计制度执行。</w:t>
      </w:r>
    </w:p>
    <w:p w14:paraId="12D4A3EA"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（七）基金账册的建立</w:t>
      </w:r>
    </w:p>
    <w:p w14:paraId="02A0F8F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747ADA1D"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（八）基金财务报表与报告的编制和复核</w:t>
      </w:r>
    </w:p>
    <w:p w14:paraId="280E7CF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1.财务报表的编制</w:t>
      </w:r>
    </w:p>
    <w:p w14:paraId="4EDC752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基金财务报表由基金管理人编制，基金托管人复核。</w:t>
      </w:r>
    </w:p>
    <w:p w14:paraId="7A8660A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2.报表复核</w:t>
      </w:r>
    </w:p>
    <w:p w14:paraId="1037F06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基金托管人在收到基金管理人编制的基金财务报表后，进行独立的复核。核对不符时，应及时通知基金管理人共同查出原因，进行调整，直至双方数据完全一致。</w:t>
      </w:r>
    </w:p>
    <w:p w14:paraId="4D0F006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3.财务报表的编制与复核时间安排</w:t>
      </w:r>
    </w:p>
    <w:p w14:paraId="5390415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(1)报表的编制</w:t>
      </w:r>
    </w:p>
    <w:p w14:paraId="6027AE7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每月结束后5个工作日内完成月度报表的编制；在每个季度结束之日起15个工作日内完成基金季度报告的编制；在上半年结束之日起2个月内完成基金中期报告的编制；在每年结束之日起3个月内完成基金年度报告的编制。基金年度报告的财务会计报告应当经过符合《证券法》规定的会计师事务所审计。《基金合同》生效不足两个月的，基金管理人可以不编制当期季度报告、中期报告或者年度报告。</w:t>
      </w:r>
    </w:p>
    <w:p w14:paraId="6D5C57AD"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(2)报表的复核</w:t>
      </w:r>
    </w:p>
    <w:p w14:paraId="0A9C8941"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24A2A67"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62497633" w14:textId="77777777" w:rsidR="00353BD1" w:rsidRDefault="00064D22">
      <w:pPr>
        <w:pStyle w:val="a0"/>
        <w:adjustRightInd w:val="0"/>
        <w:snapToGrid w:val="0"/>
        <w:spacing w:line="360" w:lineRule="auto"/>
        <w:ind w:firstLine="480"/>
        <w:rPr>
          <w:rFonts w:ascii="宋体" w:hAnsi="宋体" w:cs="Arial"/>
          <w:sz w:val="24"/>
        </w:rPr>
      </w:pPr>
      <w:r>
        <w:rPr>
          <w:rFonts w:ascii="宋体" w:hAnsi="宋体" w:cs="Arial" w:hint="eastAsia"/>
          <w:sz w:val="24"/>
        </w:rPr>
        <w:t>（九）基金管理人应在编制季度报告、中期报告或者年度报告之前及时向基金托管人提供基金业绩比较基准的基础数据和编制结果。</w:t>
      </w:r>
    </w:p>
    <w:p w14:paraId="374878FD" w14:textId="77777777" w:rsidR="00353BD1" w:rsidRDefault="00353BD1">
      <w:pPr>
        <w:pStyle w:val="a0"/>
        <w:adjustRightInd w:val="0"/>
        <w:snapToGrid w:val="0"/>
        <w:spacing w:line="360" w:lineRule="auto"/>
        <w:ind w:firstLineChars="0" w:firstLine="0"/>
        <w:rPr>
          <w:rFonts w:ascii="宋体" w:hAnsi="宋体" w:cs="Arial"/>
          <w:sz w:val="24"/>
        </w:rPr>
      </w:pPr>
    </w:p>
    <w:p w14:paraId="7256626A" w14:textId="77777777" w:rsidR="00353BD1" w:rsidRDefault="00064D22">
      <w:pPr>
        <w:pStyle w:val="2"/>
        <w:spacing w:line="360" w:lineRule="auto"/>
        <w:jc w:val="center"/>
        <w:rPr>
          <w:rFonts w:ascii="宋体" w:eastAsia="宋体" w:hAnsi="宋体"/>
          <w:sz w:val="30"/>
        </w:rPr>
      </w:pPr>
      <w:bookmarkStart w:id="96" w:name="_Toc124325893"/>
      <w:r>
        <w:rPr>
          <w:rFonts w:ascii="宋体" w:eastAsia="宋体" w:hAnsi="宋体" w:hint="eastAsia"/>
          <w:sz w:val="30"/>
        </w:rPr>
        <w:t>九、基金收益分配</w:t>
      </w:r>
      <w:bookmarkEnd w:id="96"/>
    </w:p>
    <w:p w14:paraId="770A7AE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基金收益分配是指按规定将基金的可分配收益按基金份额进行比例分配。</w:t>
      </w:r>
    </w:p>
    <w:p w14:paraId="681A26F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（一）基金收益分配的原则</w:t>
      </w:r>
    </w:p>
    <w:p w14:paraId="4E55C85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基金收益分配应遵循下列原则：</w:t>
      </w:r>
    </w:p>
    <w:p w14:paraId="5E9839AE" w14:textId="638DBC52" w:rsidR="009C797C" w:rsidRPr="009C797C" w:rsidRDefault="00064D22" w:rsidP="009C797C">
      <w:pPr>
        <w:adjustRightInd w:val="0"/>
        <w:snapToGrid w:val="0"/>
        <w:spacing w:line="360" w:lineRule="auto"/>
        <w:ind w:firstLineChars="200" w:firstLine="480"/>
        <w:rPr>
          <w:rFonts w:ascii="宋体" w:hAnsi="宋体" w:cs="Arial"/>
          <w:sz w:val="24"/>
        </w:rPr>
      </w:pPr>
      <w:r>
        <w:rPr>
          <w:rFonts w:ascii="宋体" w:hAnsi="宋体" w:cs="Arial" w:hint="eastAsia"/>
          <w:sz w:val="24"/>
        </w:rPr>
        <w:t>1</w:t>
      </w:r>
      <w:r w:rsidR="009C797C">
        <w:rPr>
          <w:rFonts w:ascii="宋体" w:hAnsi="宋体" w:cs="Arial" w:hint="eastAsia"/>
          <w:sz w:val="24"/>
        </w:rPr>
        <w:t>.</w:t>
      </w:r>
      <w:r w:rsidR="009C797C" w:rsidRPr="009C797C">
        <w:rPr>
          <w:rFonts w:ascii="宋体" w:hAnsi="宋体" w:cs="Arial" w:hint="eastAsia"/>
          <w:sz w:val="24"/>
        </w:rPr>
        <w:t>在符合有关基金分红条件的前提下，基金管理人可以根据实际情况进行收益分配，具体分配方案以公告为准。若《基金合同》生效不满3个月可不进行收益分配；</w:t>
      </w:r>
    </w:p>
    <w:p w14:paraId="10E9A86C" w14:textId="31F0C905" w:rsidR="009C797C" w:rsidRPr="009C797C" w:rsidRDefault="009C797C" w:rsidP="009C797C">
      <w:pPr>
        <w:adjustRightInd w:val="0"/>
        <w:snapToGrid w:val="0"/>
        <w:spacing w:line="360" w:lineRule="auto"/>
        <w:ind w:firstLineChars="200" w:firstLine="480"/>
        <w:rPr>
          <w:rFonts w:ascii="宋体" w:hAnsi="宋体" w:cs="Arial"/>
          <w:sz w:val="24"/>
        </w:rPr>
      </w:pPr>
      <w:r w:rsidRPr="009C797C">
        <w:rPr>
          <w:rFonts w:ascii="宋体" w:hAnsi="宋体" w:cs="Arial" w:hint="eastAsia"/>
          <w:sz w:val="24"/>
        </w:rPr>
        <w:t>2</w:t>
      </w:r>
      <w:r>
        <w:rPr>
          <w:rFonts w:ascii="宋体" w:hAnsi="宋体" w:cs="Arial"/>
          <w:sz w:val="24"/>
        </w:rPr>
        <w:t>.</w:t>
      </w:r>
      <w:r w:rsidRPr="009C797C">
        <w:rPr>
          <w:rFonts w:ascii="宋体" w:hAnsi="宋体" w:cs="Arial" w:hint="eastAsia"/>
          <w:sz w:val="24"/>
        </w:rPr>
        <w:t>本基金收益分配方式分两种：现金分红与红利再投资，投资者可选择现金红利或将现金红利自动转为对应类别的基金份额进行再投资；若投资者不选择，本基</w:t>
      </w:r>
      <w:r w:rsidRPr="009C797C">
        <w:rPr>
          <w:rFonts w:ascii="宋体" w:hAnsi="宋体" w:cs="Arial" w:hint="eastAsia"/>
          <w:sz w:val="24"/>
        </w:rPr>
        <w:lastRenderedPageBreak/>
        <w:t>金默认的收益分配方式是现金分红；</w:t>
      </w:r>
    </w:p>
    <w:p w14:paraId="6EEEF366" w14:textId="4D7B80FB" w:rsidR="009C797C" w:rsidRPr="009C797C" w:rsidRDefault="009C797C" w:rsidP="009C797C">
      <w:pPr>
        <w:adjustRightInd w:val="0"/>
        <w:snapToGrid w:val="0"/>
        <w:spacing w:line="360" w:lineRule="auto"/>
        <w:ind w:firstLineChars="200" w:firstLine="480"/>
        <w:rPr>
          <w:rFonts w:ascii="宋体" w:hAnsi="宋体" w:cs="Arial"/>
          <w:sz w:val="24"/>
        </w:rPr>
      </w:pPr>
      <w:r w:rsidRPr="009C797C">
        <w:rPr>
          <w:rFonts w:ascii="宋体" w:hAnsi="宋体" w:cs="Arial" w:hint="eastAsia"/>
          <w:sz w:val="24"/>
        </w:rPr>
        <w:t>3</w:t>
      </w:r>
      <w:r>
        <w:rPr>
          <w:rFonts w:ascii="宋体" w:hAnsi="宋体" w:cs="Arial" w:hint="eastAsia"/>
          <w:sz w:val="24"/>
        </w:rPr>
        <w:t>.</w:t>
      </w:r>
      <w:r w:rsidRPr="009C797C">
        <w:rPr>
          <w:rFonts w:ascii="宋体" w:hAnsi="宋体" w:cs="Arial" w:hint="eastAsia"/>
          <w:sz w:val="24"/>
        </w:rPr>
        <w:t>基金收益分配后</w:t>
      </w:r>
      <w:r w:rsidR="00496B2D">
        <w:rPr>
          <w:rFonts w:ascii="宋体" w:hAnsi="宋体" w:cs="Arial" w:hint="eastAsia"/>
          <w:sz w:val="24"/>
        </w:rPr>
        <w:t>各类</w:t>
      </w:r>
      <w:r w:rsidRPr="009C797C">
        <w:rPr>
          <w:rFonts w:ascii="宋体" w:hAnsi="宋体" w:cs="Arial" w:hint="eastAsia"/>
          <w:sz w:val="24"/>
        </w:rPr>
        <w:t>基金份额净值不能低于面值；即基金收益分配基准日的</w:t>
      </w:r>
      <w:r w:rsidR="00496B2D">
        <w:rPr>
          <w:rFonts w:ascii="宋体" w:hAnsi="宋体" w:cs="Arial" w:hint="eastAsia"/>
          <w:sz w:val="24"/>
        </w:rPr>
        <w:t>各类</w:t>
      </w:r>
      <w:r w:rsidRPr="009C797C">
        <w:rPr>
          <w:rFonts w:ascii="宋体" w:hAnsi="宋体" w:cs="Arial" w:hint="eastAsia"/>
          <w:sz w:val="24"/>
        </w:rPr>
        <w:t>基金份额净值减去每单位</w:t>
      </w:r>
      <w:r w:rsidR="00496B2D">
        <w:rPr>
          <w:rFonts w:ascii="宋体" w:hAnsi="宋体" w:cs="Arial" w:hint="eastAsia"/>
          <w:sz w:val="24"/>
        </w:rPr>
        <w:t>该类</w:t>
      </w:r>
      <w:r w:rsidRPr="009C797C">
        <w:rPr>
          <w:rFonts w:ascii="宋体" w:hAnsi="宋体" w:cs="Arial" w:hint="eastAsia"/>
          <w:sz w:val="24"/>
        </w:rPr>
        <w:t>基金份额收益分配金额后不能低于面值；</w:t>
      </w:r>
    </w:p>
    <w:p w14:paraId="5FFC8AC9" w14:textId="6FF1B4CD" w:rsidR="009C797C" w:rsidRPr="009C797C" w:rsidRDefault="009C797C" w:rsidP="009C797C">
      <w:pPr>
        <w:adjustRightInd w:val="0"/>
        <w:snapToGrid w:val="0"/>
        <w:spacing w:line="360" w:lineRule="auto"/>
        <w:ind w:firstLineChars="200" w:firstLine="480"/>
        <w:rPr>
          <w:rFonts w:ascii="宋体" w:hAnsi="宋体" w:cs="Arial"/>
          <w:sz w:val="24"/>
        </w:rPr>
      </w:pPr>
      <w:r w:rsidRPr="009C797C">
        <w:rPr>
          <w:rFonts w:ascii="宋体" w:hAnsi="宋体" w:cs="Arial" w:hint="eastAsia"/>
          <w:sz w:val="24"/>
        </w:rPr>
        <w:t>4</w:t>
      </w:r>
      <w:r>
        <w:rPr>
          <w:rFonts w:ascii="宋体" w:hAnsi="宋体" w:cs="Arial"/>
          <w:sz w:val="24"/>
        </w:rPr>
        <w:t>.</w:t>
      </w:r>
      <w:r w:rsidR="003D04DC" w:rsidRPr="003D04DC">
        <w:rPr>
          <w:rFonts w:hint="eastAsia"/>
        </w:rPr>
        <w:t xml:space="preserve"> </w:t>
      </w:r>
      <w:r w:rsidR="003D04DC" w:rsidRPr="003D04DC">
        <w:rPr>
          <w:rFonts w:ascii="宋体" w:hAnsi="宋体" w:cs="Arial" w:hint="eastAsia"/>
          <w:sz w:val="24"/>
        </w:rPr>
        <w:t>由于本基金A类基金份额和C类基金份额费用收取不同</w:t>
      </w:r>
      <w:r w:rsidRPr="009C797C">
        <w:rPr>
          <w:rFonts w:ascii="宋体" w:hAnsi="宋体" w:cs="Arial" w:hint="eastAsia"/>
          <w:sz w:val="24"/>
        </w:rPr>
        <w:t>，各基金份额类别对应的可分配收益将有所不同，基金管理人可对各类别份额分别制定收益分配方案。本基金同一类别的每一基金份额享有同等分配权；</w:t>
      </w:r>
    </w:p>
    <w:p w14:paraId="76652F3C" w14:textId="1280B44B" w:rsidR="009C797C" w:rsidRPr="009C797C" w:rsidRDefault="009C797C" w:rsidP="009C797C">
      <w:pPr>
        <w:adjustRightInd w:val="0"/>
        <w:snapToGrid w:val="0"/>
        <w:spacing w:line="360" w:lineRule="auto"/>
        <w:ind w:firstLineChars="200" w:firstLine="480"/>
        <w:rPr>
          <w:rFonts w:ascii="宋体" w:hAnsi="宋体" w:cs="Arial"/>
          <w:sz w:val="24"/>
        </w:rPr>
      </w:pPr>
      <w:r w:rsidRPr="009C797C">
        <w:rPr>
          <w:rFonts w:ascii="宋体" w:hAnsi="宋体" w:cs="Arial" w:hint="eastAsia"/>
          <w:sz w:val="24"/>
        </w:rPr>
        <w:t>5</w:t>
      </w:r>
      <w:r>
        <w:rPr>
          <w:rFonts w:ascii="宋体" w:hAnsi="宋体" w:cs="Arial" w:hint="eastAsia"/>
          <w:sz w:val="24"/>
        </w:rPr>
        <w:t>.</w:t>
      </w:r>
      <w:r w:rsidRPr="009C797C">
        <w:rPr>
          <w:rFonts w:ascii="宋体" w:hAnsi="宋体" w:cs="Arial" w:hint="eastAsia"/>
          <w:sz w:val="24"/>
        </w:rPr>
        <w:t>红利再投资的基金份额的持有期起始日，按原份额的持有期起始日计算；</w:t>
      </w:r>
    </w:p>
    <w:p w14:paraId="154B5F52" w14:textId="725D40E8" w:rsidR="00353BD1" w:rsidRDefault="009C797C" w:rsidP="009C797C">
      <w:pPr>
        <w:adjustRightInd w:val="0"/>
        <w:snapToGrid w:val="0"/>
        <w:spacing w:line="360" w:lineRule="auto"/>
        <w:ind w:firstLineChars="200" w:firstLine="480"/>
        <w:rPr>
          <w:rFonts w:ascii="宋体" w:hAnsi="宋体" w:cs="Arial"/>
          <w:sz w:val="24"/>
        </w:rPr>
      </w:pPr>
      <w:r w:rsidRPr="009C797C">
        <w:rPr>
          <w:rFonts w:ascii="宋体" w:hAnsi="宋体" w:cs="Arial" w:hint="eastAsia"/>
          <w:sz w:val="24"/>
        </w:rPr>
        <w:t>6</w:t>
      </w:r>
      <w:r>
        <w:rPr>
          <w:rFonts w:ascii="宋体" w:hAnsi="宋体" w:cs="Arial"/>
          <w:sz w:val="24"/>
        </w:rPr>
        <w:t>.</w:t>
      </w:r>
      <w:r w:rsidRPr="009C797C">
        <w:rPr>
          <w:rFonts w:ascii="宋体" w:hAnsi="宋体" w:cs="Arial" w:hint="eastAsia"/>
          <w:sz w:val="24"/>
        </w:rPr>
        <w:t>法律法规或监管机关另有规定的，从其规定</w:t>
      </w:r>
      <w:r w:rsidR="00064D22">
        <w:rPr>
          <w:rFonts w:ascii="宋体" w:hAnsi="宋体" w:cs="Arial" w:hint="eastAsia"/>
          <w:sz w:val="24"/>
        </w:rPr>
        <w:t>。</w:t>
      </w:r>
    </w:p>
    <w:p w14:paraId="079484B0" w14:textId="2CE7222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在符合法律法规及基金合同约定，并对基金份额持有人利益无实质性不利影响的前提下，经与基金托管人协商一致并履行适当程序后，基金管理人可对基金收益分配原则和支付方式进行调整。</w:t>
      </w:r>
    </w:p>
    <w:p w14:paraId="67B31ABE"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（二）基金收益分配的时间和程序</w:t>
      </w:r>
    </w:p>
    <w:p w14:paraId="5D15DDD0"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收益分配方案由基金管理人拟订，并由基金托管人复核，并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2AEB58E5" w14:textId="753E24A4"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基金收益分配时所发生的银行转账或其他手续费用由投资者自行承担。</w:t>
      </w:r>
      <w:r w:rsidR="00BD210D" w:rsidRPr="00BD210D">
        <w:rPr>
          <w:rFonts w:ascii="宋体" w:hAnsi="宋体" w:cs="Arial" w:hint="eastAsia"/>
          <w:sz w:val="24"/>
        </w:rPr>
        <w:t>当投资者的现金红利小于一定金额，不足以支付银行转账或其他手续费用时，基金登记机构可将基金份额持有人的现金红利自动转为对应类别的基金份额。红利再投资的计算方法，依照《业务规则》执行</w:t>
      </w:r>
      <w:r w:rsidR="00BF19F8">
        <w:rPr>
          <w:rFonts w:ascii="宋体" w:hAnsi="宋体" w:cs="Arial" w:hint="eastAsia"/>
          <w:sz w:val="24"/>
        </w:rPr>
        <w:t>。</w:t>
      </w:r>
    </w:p>
    <w:p w14:paraId="21BE04FD"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（三）实施侧袋机制期间的收益分配</w:t>
      </w:r>
    </w:p>
    <w:p w14:paraId="11D20F71"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本基金实施侧袋机制的，侧袋账户不进行收益分配，详见招募说明书的规定。</w:t>
      </w:r>
    </w:p>
    <w:p w14:paraId="42A71800" w14:textId="77777777" w:rsidR="00353BD1" w:rsidRDefault="00353BD1">
      <w:pPr>
        <w:adjustRightInd w:val="0"/>
        <w:snapToGrid w:val="0"/>
        <w:spacing w:line="360" w:lineRule="auto"/>
        <w:rPr>
          <w:rFonts w:ascii="宋体" w:hAnsi="宋体" w:cs="Arial"/>
          <w:sz w:val="24"/>
        </w:rPr>
      </w:pPr>
    </w:p>
    <w:p w14:paraId="1F508973" w14:textId="77777777" w:rsidR="00353BD1" w:rsidRDefault="00064D22">
      <w:pPr>
        <w:pStyle w:val="2"/>
        <w:spacing w:line="360" w:lineRule="auto"/>
        <w:jc w:val="center"/>
        <w:rPr>
          <w:rFonts w:ascii="宋体" w:eastAsia="宋体" w:hAnsi="宋体"/>
          <w:sz w:val="30"/>
        </w:rPr>
      </w:pPr>
      <w:bookmarkStart w:id="97" w:name="_Toc124325894"/>
      <w:r>
        <w:rPr>
          <w:rFonts w:ascii="宋体" w:eastAsia="宋体" w:hAnsi="宋体" w:hint="eastAsia"/>
          <w:sz w:val="30"/>
        </w:rPr>
        <w:t>十、基金信息披露</w:t>
      </w:r>
      <w:bookmarkEnd w:id="97"/>
    </w:p>
    <w:p w14:paraId="6FB5C542"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（一）保密义务</w:t>
      </w:r>
    </w:p>
    <w:p w14:paraId="2B5D75E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w:t>
      </w:r>
      <w:r>
        <w:rPr>
          <w:rFonts w:ascii="宋体" w:hAnsi="宋体" w:cs="Arial" w:hint="eastAsia"/>
          <w:sz w:val="24"/>
        </w:rPr>
        <w:lastRenderedPageBreak/>
        <w:t>金运作中产生的信息以及从对方获得的业务信息应予保密。但是，如下情况不应视为基金管理人或基金托管人违反保密义务：</w:t>
      </w:r>
    </w:p>
    <w:p w14:paraId="3B81F62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1.非因基金管理人和基金托管人的原因导致保密信息被披露、泄露或公开；</w:t>
      </w:r>
    </w:p>
    <w:p w14:paraId="03CD86C6" w14:textId="165EA00B"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2.基金管理人和基金托管人为遵守和服从法院判决或裁定、仲裁裁决或中国证监会等监管机构的命令、决定所做出的信息披露或公开；</w:t>
      </w:r>
    </w:p>
    <w:p w14:paraId="7EB8016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因审计、法律等专业服务向外部专业顾问提供信息。</w:t>
      </w:r>
    </w:p>
    <w:p w14:paraId="741B352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（二）信息披露的内容</w:t>
      </w:r>
    </w:p>
    <w:p w14:paraId="52D2AD2C" w14:textId="72AD6162" w:rsidR="00353BD1" w:rsidRDefault="00064D22">
      <w:pPr>
        <w:spacing w:line="360" w:lineRule="auto"/>
        <w:ind w:firstLineChars="200" w:firstLine="480"/>
        <w:rPr>
          <w:rFonts w:ascii="宋体" w:hAnsi="宋体" w:cs="Arial"/>
          <w:sz w:val="24"/>
        </w:rPr>
      </w:pPr>
      <w:r>
        <w:rPr>
          <w:rFonts w:ascii="宋体" w:hAnsi="宋体" w:cs="Arial" w:hint="eastAsia"/>
          <w:sz w:val="24"/>
        </w:rPr>
        <w:t>基金的信息披露内容主要包括基金招募说明书、《基金合同》、托管协议、基金产品资料概要、基金份额发售公告、基金募集情况、《基金合同》生效公告、基金净值信息、基金份额申购、赎回价格、基金定期报告、包括基金年度报告、基金中期报告和基金季度报告、临时报告、澄清公告、基金份额持有人大会决议、清算报告、</w:t>
      </w:r>
      <w:r>
        <w:rPr>
          <w:rFonts w:asciiTheme="minorEastAsia" w:hAnsiTheme="minorEastAsia" w:cs="Arial" w:hint="eastAsia"/>
          <w:sz w:val="24"/>
        </w:rPr>
        <w:t>投资资产支持证券的信息披露、</w:t>
      </w:r>
      <w:r w:rsidR="00591D00" w:rsidRPr="00591D00">
        <w:rPr>
          <w:rFonts w:asciiTheme="minorEastAsia" w:hAnsiTheme="minorEastAsia" w:cs="Arial" w:hint="eastAsia"/>
          <w:sz w:val="24"/>
        </w:rPr>
        <w:t>参与港股通交易的信息披露</w:t>
      </w:r>
      <w:r>
        <w:rPr>
          <w:rFonts w:asciiTheme="minorEastAsia" w:hAnsiTheme="minorEastAsia" w:cs="Arial" w:hint="eastAsia"/>
          <w:sz w:val="24"/>
        </w:rPr>
        <w:t>、清算报告、实施侧袋机制期间的信息披露</w:t>
      </w:r>
      <w:r>
        <w:rPr>
          <w:rFonts w:ascii="宋体" w:hAnsi="宋体" w:cs="Arial" w:hint="eastAsia"/>
          <w:sz w:val="24"/>
        </w:rPr>
        <w:t>以及中国证监会规定的其他信息。基金年度报告中的财务会计报告需经符合《证券法》规定的会计师事务所审计后，方可披露。</w:t>
      </w:r>
    </w:p>
    <w:p w14:paraId="7B05313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（三）基金托管人和基金管理人在信息披露中的职责和信息披露程序</w:t>
      </w:r>
    </w:p>
    <w:p w14:paraId="113DF7B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1.职责</w:t>
      </w:r>
    </w:p>
    <w:p w14:paraId="11547D7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715D5C1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对于不需要基金托管人复核的信息，基金管理人在公告前应告知基金托管人。</w:t>
      </w:r>
    </w:p>
    <w:p w14:paraId="25A220B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基金管理人和基金托管人应积极配合、互相监督，保证其履行按照法定方式和限时披露的义务。</w:t>
      </w:r>
    </w:p>
    <w:p w14:paraId="57CCED6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基金管理人应当在中国证监会规定的时间内，将应予披露的基金信息通过规定媒介披露。根据法律法规应由基金托管人公开披露的信息，基金托管人将通过规定媒介或基金托管人的互联网网站公开披露。</w:t>
      </w:r>
    </w:p>
    <w:p w14:paraId="6BBC971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当出现下述情况时，基金管理人和基金托管人可暂停或延迟披露基金相关信息：</w:t>
      </w:r>
    </w:p>
    <w:p w14:paraId="2A3FD4B2" w14:textId="1EBCB3A6" w:rsidR="00BD734F" w:rsidRDefault="00BD734F" w:rsidP="00BD734F">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（1）基金投资所涉及的证券交易市场遇法定节假日或因其他原因暂停营业时；</w:t>
      </w:r>
    </w:p>
    <w:p w14:paraId="6DCF7ED0" w14:textId="2778D3D9" w:rsidR="00BD734F" w:rsidRDefault="00BD734F" w:rsidP="00BD734F">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（2）因不可抗力致使基金管理人、基金托管人无法准确评估基金资产价值时；</w:t>
      </w:r>
    </w:p>
    <w:p w14:paraId="4C40DCB6" w14:textId="671E4975" w:rsidR="00BD734F" w:rsidRDefault="00BD734F" w:rsidP="00BD734F">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（3）</w:t>
      </w:r>
      <w:r w:rsidRPr="001115B3">
        <w:rPr>
          <w:rFonts w:ascii="宋体" w:hAnsi="宋体" w:cs="Arial" w:hint="eastAsia"/>
          <w:sz w:val="24"/>
        </w:rPr>
        <w:t>当特定资产占前一估值日基金资产净值50%以上的，经与基金托管人协商确认后，基金管理人应当暂停估值；</w:t>
      </w:r>
    </w:p>
    <w:p w14:paraId="6F60025D" w14:textId="3DB1DBEF" w:rsidR="00BD734F" w:rsidRDefault="00BD734F" w:rsidP="00BD734F">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（4）</w:t>
      </w:r>
      <w:r w:rsidRPr="009C797C">
        <w:rPr>
          <w:rFonts w:ascii="宋体" w:hAnsi="宋体" w:cs="Arial" w:hint="eastAsia"/>
          <w:sz w:val="24"/>
        </w:rPr>
        <w:t>占本基金资产净值相当比例的被投资基金暂停估值时，本基金可以暂停估值；</w:t>
      </w:r>
    </w:p>
    <w:p w14:paraId="5147983B" w14:textId="4B9E4595" w:rsidR="00BD734F" w:rsidRDefault="00BD734F" w:rsidP="00BD734F">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（5）中国证监会和《基金合同》认定的其他情形。</w:t>
      </w:r>
    </w:p>
    <w:p w14:paraId="62B1F559" w14:textId="68799C72" w:rsidR="00353BD1" w:rsidRDefault="00BD734F">
      <w:pPr>
        <w:adjustRightInd w:val="0"/>
        <w:snapToGrid w:val="0"/>
        <w:spacing w:line="360" w:lineRule="auto"/>
        <w:ind w:firstLineChars="200" w:firstLine="480"/>
        <w:rPr>
          <w:rFonts w:ascii="宋体" w:hAnsi="宋体" w:cs="Arial"/>
          <w:sz w:val="24"/>
        </w:rPr>
      </w:pPr>
      <w:r w:rsidDel="00BD734F">
        <w:rPr>
          <w:rFonts w:ascii="宋体" w:hAnsi="宋体" w:cs="Arial" w:hint="eastAsia"/>
          <w:sz w:val="24"/>
        </w:rPr>
        <w:t xml:space="preserve"> </w:t>
      </w:r>
      <w:r w:rsidR="00064D22">
        <w:rPr>
          <w:rFonts w:ascii="宋体" w:hAnsi="宋体" w:cs="Arial" w:hint="eastAsia"/>
          <w:sz w:val="24"/>
        </w:rPr>
        <w:t>2.程序</w:t>
      </w:r>
    </w:p>
    <w:p w14:paraId="601E44F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48148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3.信息文本的存放</w:t>
      </w:r>
    </w:p>
    <w:p w14:paraId="5C47D78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依法必须披露的信息发布后，基金管理人、基金托管人应当按照相关法律法规规定将信息置备于公司住所，供社会公众查阅、复制。</w:t>
      </w:r>
    </w:p>
    <w:p w14:paraId="4B2546F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（四）实施侧袋机制期间的信息披露</w:t>
      </w:r>
    </w:p>
    <w:p w14:paraId="7021410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本基金实施侧袋机制的，相关信息披露义务人应当根据法律法规、基金合同和招募说明书的规定进行信息披露，详见招募说明书的规定。</w:t>
      </w:r>
    </w:p>
    <w:p w14:paraId="46C8CA0A" w14:textId="77777777" w:rsidR="00353BD1" w:rsidRDefault="00064D22">
      <w:pPr>
        <w:pStyle w:val="a0"/>
        <w:spacing w:line="360" w:lineRule="auto"/>
        <w:ind w:firstLine="480"/>
        <w:rPr>
          <w:rFonts w:ascii="宋体" w:hAnsi="宋体" w:cs="Arial"/>
          <w:sz w:val="24"/>
        </w:rPr>
      </w:pPr>
      <w:r>
        <w:rPr>
          <w:rFonts w:ascii="宋体" w:hAnsi="宋体" w:cs="Arial" w:hint="eastAsia"/>
          <w:sz w:val="24"/>
        </w:rPr>
        <w:t>（五）法律法规或监管部门对适用于本基金的信息披露另有规定的，从其规定。如规定发生变化的，从其最新规定。</w:t>
      </w:r>
    </w:p>
    <w:p w14:paraId="1FFBBE79" w14:textId="77777777" w:rsidR="00353BD1" w:rsidRDefault="00353BD1">
      <w:pPr>
        <w:pStyle w:val="a0"/>
        <w:spacing w:line="360" w:lineRule="auto"/>
        <w:ind w:firstLineChars="0" w:firstLine="0"/>
        <w:rPr>
          <w:rFonts w:ascii="宋体" w:hAnsi="宋体" w:cs="Arial"/>
          <w:sz w:val="24"/>
        </w:rPr>
      </w:pPr>
    </w:p>
    <w:p w14:paraId="17C6DD75" w14:textId="77777777" w:rsidR="00353BD1" w:rsidRDefault="00064D22">
      <w:pPr>
        <w:pStyle w:val="2"/>
        <w:spacing w:line="360" w:lineRule="auto"/>
        <w:jc w:val="center"/>
        <w:rPr>
          <w:rFonts w:ascii="宋体" w:eastAsia="宋体" w:hAnsi="宋体"/>
          <w:sz w:val="30"/>
        </w:rPr>
      </w:pPr>
      <w:bookmarkStart w:id="98" w:name="_Toc124325895"/>
      <w:r>
        <w:rPr>
          <w:rFonts w:ascii="宋体" w:eastAsia="宋体" w:hAnsi="宋体" w:hint="eastAsia"/>
          <w:sz w:val="30"/>
        </w:rPr>
        <w:t>十一、基金费用</w:t>
      </w:r>
      <w:bookmarkEnd w:id="98"/>
    </w:p>
    <w:p w14:paraId="432A9F81" w14:textId="10E5340A"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（一）基金管理费的</w:t>
      </w:r>
      <w:r w:rsidR="000E6C5D">
        <w:rPr>
          <w:rFonts w:ascii="宋体" w:hAnsi="宋体" w:cs="Arial" w:hint="eastAsia"/>
          <w:sz w:val="24"/>
        </w:rPr>
        <w:t>计提比例和</w:t>
      </w:r>
      <w:r>
        <w:rPr>
          <w:rFonts w:ascii="宋体" w:hAnsi="宋体" w:cs="Arial" w:hint="eastAsia"/>
          <w:sz w:val="24"/>
        </w:rPr>
        <w:t>计提方法</w:t>
      </w:r>
    </w:p>
    <w:p w14:paraId="2E66BB11" w14:textId="77777777" w:rsidR="007A08D0" w:rsidRPr="007A08D0" w:rsidRDefault="007A08D0" w:rsidP="007A08D0">
      <w:pPr>
        <w:adjustRightInd w:val="0"/>
        <w:snapToGrid w:val="0"/>
        <w:spacing w:line="360" w:lineRule="auto"/>
        <w:ind w:firstLineChars="200" w:firstLine="480"/>
        <w:rPr>
          <w:bCs/>
          <w:sz w:val="24"/>
        </w:rPr>
      </w:pPr>
      <w:r w:rsidRPr="007A08D0">
        <w:rPr>
          <w:rFonts w:hint="eastAsia"/>
          <w:bCs/>
          <w:sz w:val="24"/>
        </w:rPr>
        <w:t>本基金的管理费按前一日的基金资产净值扣除本基金持有的基金管理人自身管理的其他基金份额所对应资产净值的剩余部分的</w:t>
      </w:r>
      <w:r w:rsidRPr="007A08D0">
        <w:rPr>
          <w:rFonts w:hint="eastAsia"/>
          <w:bCs/>
          <w:sz w:val="24"/>
        </w:rPr>
        <w:t>0.50%</w:t>
      </w:r>
      <w:r w:rsidRPr="007A08D0">
        <w:rPr>
          <w:rFonts w:hint="eastAsia"/>
          <w:bCs/>
          <w:sz w:val="24"/>
        </w:rPr>
        <w:t>年费率计提。基金管理人不得对本基金财产中持有的自身管理的其他基金部分收取管理费。管理费的计算方法如下：</w:t>
      </w:r>
    </w:p>
    <w:p w14:paraId="36235192" w14:textId="77777777" w:rsidR="007A08D0" w:rsidRPr="007A08D0" w:rsidRDefault="007A08D0" w:rsidP="007A08D0">
      <w:pPr>
        <w:adjustRightInd w:val="0"/>
        <w:snapToGrid w:val="0"/>
        <w:spacing w:line="360" w:lineRule="auto"/>
        <w:ind w:firstLineChars="200" w:firstLine="480"/>
        <w:rPr>
          <w:bCs/>
          <w:sz w:val="24"/>
        </w:rPr>
      </w:pPr>
      <w:r w:rsidRPr="007A08D0">
        <w:rPr>
          <w:rFonts w:hint="eastAsia"/>
          <w:bCs/>
          <w:sz w:val="24"/>
        </w:rPr>
        <w:t>H</w:t>
      </w:r>
      <w:r w:rsidRPr="007A08D0">
        <w:rPr>
          <w:rFonts w:hint="eastAsia"/>
          <w:bCs/>
          <w:sz w:val="24"/>
        </w:rPr>
        <w:t>＝</w:t>
      </w:r>
      <w:r w:rsidRPr="007A08D0">
        <w:rPr>
          <w:rFonts w:hint="eastAsia"/>
          <w:bCs/>
          <w:sz w:val="24"/>
        </w:rPr>
        <w:t>E</w:t>
      </w:r>
      <w:r w:rsidRPr="007A08D0">
        <w:rPr>
          <w:rFonts w:hint="eastAsia"/>
          <w:bCs/>
          <w:sz w:val="24"/>
        </w:rPr>
        <w:t>×</w:t>
      </w:r>
      <w:r w:rsidRPr="007A08D0">
        <w:rPr>
          <w:rFonts w:hint="eastAsia"/>
          <w:bCs/>
          <w:sz w:val="24"/>
        </w:rPr>
        <w:t>0.50%</w:t>
      </w:r>
      <w:r w:rsidRPr="007A08D0">
        <w:rPr>
          <w:rFonts w:hint="eastAsia"/>
          <w:bCs/>
          <w:sz w:val="24"/>
        </w:rPr>
        <w:t>÷当年天数</w:t>
      </w:r>
    </w:p>
    <w:p w14:paraId="03FD1214" w14:textId="77777777" w:rsidR="007A08D0" w:rsidRPr="007A08D0" w:rsidRDefault="007A08D0" w:rsidP="007A08D0">
      <w:pPr>
        <w:adjustRightInd w:val="0"/>
        <w:snapToGrid w:val="0"/>
        <w:spacing w:line="360" w:lineRule="auto"/>
        <w:ind w:firstLineChars="200" w:firstLine="480"/>
        <w:rPr>
          <w:bCs/>
          <w:sz w:val="24"/>
        </w:rPr>
      </w:pPr>
      <w:r w:rsidRPr="007A08D0">
        <w:rPr>
          <w:rFonts w:hint="eastAsia"/>
          <w:bCs/>
          <w:sz w:val="24"/>
        </w:rPr>
        <w:t>H</w:t>
      </w:r>
      <w:r w:rsidRPr="007A08D0">
        <w:rPr>
          <w:rFonts w:hint="eastAsia"/>
          <w:bCs/>
          <w:sz w:val="24"/>
        </w:rPr>
        <w:t>为每日应计提的基金管理费</w:t>
      </w:r>
    </w:p>
    <w:p w14:paraId="50A38136" w14:textId="35D99904" w:rsidR="00353BD1" w:rsidRDefault="007A08D0">
      <w:pPr>
        <w:adjustRightInd w:val="0"/>
        <w:snapToGrid w:val="0"/>
        <w:spacing w:line="360" w:lineRule="auto"/>
        <w:ind w:firstLineChars="200" w:firstLine="480"/>
        <w:rPr>
          <w:rFonts w:ascii="宋体" w:hAnsi="宋体" w:cs="Arial"/>
          <w:sz w:val="24"/>
        </w:rPr>
      </w:pPr>
      <w:r w:rsidRPr="007A08D0">
        <w:rPr>
          <w:rFonts w:hint="eastAsia"/>
          <w:bCs/>
          <w:sz w:val="24"/>
        </w:rPr>
        <w:t>E</w:t>
      </w:r>
      <w:r w:rsidRPr="007A08D0">
        <w:rPr>
          <w:rFonts w:hint="eastAsia"/>
          <w:bCs/>
          <w:sz w:val="24"/>
        </w:rPr>
        <w:t>为前一日的基金资产净值扣除本基金持有的基金管理人自身管理的其他基金份额所对应资产净值的剩余部分，若为负数，则</w:t>
      </w:r>
      <w:r w:rsidRPr="007A08D0">
        <w:rPr>
          <w:rFonts w:hint="eastAsia"/>
          <w:bCs/>
          <w:sz w:val="24"/>
        </w:rPr>
        <w:t>E</w:t>
      </w:r>
      <w:r w:rsidRPr="007A08D0">
        <w:rPr>
          <w:rFonts w:hint="eastAsia"/>
          <w:bCs/>
          <w:sz w:val="24"/>
        </w:rPr>
        <w:t>取</w:t>
      </w:r>
      <w:r w:rsidRPr="007A08D0">
        <w:rPr>
          <w:rFonts w:hint="eastAsia"/>
          <w:bCs/>
          <w:sz w:val="24"/>
        </w:rPr>
        <w:t>0</w:t>
      </w:r>
    </w:p>
    <w:p w14:paraId="2BA0E2D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（二）基金托管费的计提比例和计提方法</w:t>
      </w:r>
    </w:p>
    <w:p w14:paraId="68BAF2DC" w14:textId="77777777" w:rsidR="000A43AD" w:rsidRPr="000A43AD" w:rsidRDefault="000A43AD" w:rsidP="000A43AD">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本基金的托管费按前一日的基金资产净值扣除本基金持有的基金托管人自身托管的其他基金份额所对应资产净值的剩余部分的0.15%的年费率计提。基金托管人不得对本基金财产中持有的自身托管的其他基金部分收取托管费。托管费的计算方法如下：</w:t>
      </w:r>
    </w:p>
    <w:p w14:paraId="6703D6F5" w14:textId="77777777" w:rsidR="000A43AD" w:rsidRPr="000A43AD" w:rsidRDefault="000A43AD" w:rsidP="000A43AD">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H＝E×0.15%÷当年天数</w:t>
      </w:r>
    </w:p>
    <w:p w14:paraId="195A6A92" w14:textId="77777777" w:rsidR="000A43AD" w:rsidRPr="000A43AD" w:rsidRDefault="000A43AD" w:rsidP="000A43AD">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H为每日应计提的基金托管费</w:t>
      </w:r>
    </w:p>
    <w:p w14:paraId="7DB2C395" w14:textId="1FF006AA" w:rsidR="00353BD1" w:rsidRDefault="000A43AD">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E为前一日的基金资产净值扣除本基金持有的基金托管人自身托管的其他基金份额所对应资产净值的剩余部分，若为负数，则E取0</w:t>
      </w:r>
    </w:p>
    <w:p w14:paraId="4E0619F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(三）基金销售服务费</w:t>
      </w:r>
    </w:p>
    <w:p w14:paraId="403CC625" w14:textId="77777777" w:rsidR="000A43AD" w:rsidRPr="000A43AD" w:rsidRDefault="000A43AD" w:rsidP="000A43AD">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本基金A类基金份额不收取销售服务费，C类基金份额的销售服务费按前一日C类基金份额资产净值的0.40%年费率计提。计算方法如下：</w:t>
      </w:r>
    </w:p>
    <w:p w14:paraId="768A4C62" w14:textId="77777777" w:rsidR="000A43AD" w:rsidRPr="000A43AD" w:rsidRDefault="000A43AD" w:rsidP="000A43AD">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H＝E×0.40%÷当年天数</w:t>
      </w:r>
    </w:p>
    <w:p w14:paraId="32A14EBA" w14:textId="77777777" w:rsidR="000A43AD" w:rsidRPr="000A43AD" w:rsidRDefault="000A43AD" w:rsidP="000A43AD">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H为C类基金份额每日应计提的销售服务费</w:t>
      </w:r>
    </w:p>
    <w:p w14:paraId="554081A5" w14:textId="47F68AD0" w:rsidR="003D04DC" w:rsidRDefault="000A43AD" w:rsidP="005D50A8">
      <w:pPr>
        <w:adjustRightInd w:val="0"/>
        <w:snapToGrid w:val="0"/>
        <w:spacing w:line="360" w:lineRule="auto"/>
        <w:ind w:firstLineChars="200" w:firstLine="480"/>
        <w:rPr>
          <w:rFonts w:ascii="宋体" w:hAnsi="宋体" w:cs="Arial"/>
          <w:sz w:val="24"/>
        </w:rPr>
      </w:pPr>
      <w:r w:rsidRPr="000A43AD">
        <w:rPr>
          <w:rFonts w:ascii="宋体" w:hAnsi="宋体" w:cs="Arial" w:hint="eastAsia"/>
          <w:sz w:val="24"/>
        </w:rPr>
        <w:t>E为C类基金份额前一日基金资产净值</w:t>
      </w:r>
    </w:p>
    <w:p w14:paraId="139EB3C6" w14:textId="72373E6D"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（四）证券账户开户费用、证券等交易费用、因投资港股通标的</w:t>
      </w:r>
      <w:r w:rsidR="000A43AD">
        <w:rPr>
          <w:rFonts w:ascii="宋体" w:hAnsi="宋体" w:cs="Arial" w:hint="eastAsia"/>
          <w:sz w:val="24"/>
        </w:rPr>
        <w:t>证券</w:t>
      </w:r>
      <w:r>
        <w:rPr>
          <w:rFonts w:ascii="宋体" w:hAnsi="宋体" w:cs="Arial" w:hint="eastAsia"/>
          <w:sz w:val="24"/>
        </w:rPr>
        <w:t>而产生的各项合理费用、基金财产划拨支付的银行费用、账户开户费用和账户维护费用、《基金合同》生效后的信息披露费用、基金份额持有人大会费用、《基金合同》生效后与基金有关的会计师费、律师费</w:t>
      </w:r>
      <w:r>
        <w:rPr>
          <w:rFonts w:asciiTheme="minorEastAsia" w:hAnsiTheme="minorEastAsia" w:cs="Arial" w:hint="eastAsia"/>
          <w:sz w:val="24"/>
        </w:rPr>
        <w:t>、</w:t>
      </w:r>
      <w:r w:rsidR="00FD2AFE">
        <w:rPr>
          <w:rFonts w:asciiTheme="minorEastAsia" w:hAnsiTheme="minorEastAsia" w:cs="Arial" w:hint="eastAsia"/>
          <w:sz w:val="24"/>
        </w:rPr>
        <w:t>公证费、</w:t>
      </w:r>
      <w:r>
        <w:rPr>
          <w:rFonts w:asciiTheme="minorEastAsia" w:hAnsiTheme="minorEastAsia" w:cs="Arial" w:hint="eastAsia"/>
          <w:sz w:val="24"/>
        </w:rPr>
        <w:t>诉讼费和仲裁费</w:t>
      </w:r>
      <w:r w:rsidR="000A5C1E">
        <w:rPr>
          <w:rFonts w:asciiTheme="minorEastAsia" w:hAnsiTheme="minorEastAsia" w:cs="Arial" w:hint="eastAsia"/>
          <w:sz w:val="24"/>
        </w:rPr>
        <w:t>、基金投资其他基金产生的相关费用（</w:t>
      </w:r>
      <w:r w:rsidR="000A5C1E" w:rsidRPr="000A5C1E">
        <w:rPr>
          <w:rFonts w:asciiTheme="minorEastAsia" w:hAnsiTheme="minorEastAsia" w:cs="Arial" w:hint="eastAsia"/>
          <w:sz w:val="24"/>
        </w:rPr>
        <w:t>但法律法规禁止从基金财产中列支的除外</w:t>
      </w:r>
      <w:r w:rsidR="000A5C1E">
        <w:rPr>
          <w:rFonts w:asciiTheme="minorEastAsia" w:hAnsiTheme="minorEastAsia" w:cs="Arial" w:hint="eastAsia"/>
          <w:sz w:val="24"/>
        </w:rPr>
        <w:t>）</w:t>
      </w:r>
      <w:r>
        <w:rPr>
          <w:rFonts w:ascii="宋体" w:hAnsi="宋体" w:cs="Arial" w:hint="eastAsia"/>
          <w:sz w:val="24"/>
        </w:rPr>
        <w:t>等根据有关法律法规、《基金合同》及相应协议的规定，列入当期基金费用。</w:t>
      </w:r>
    </w:p>
    <w:p w14:paraId="32F34368" w14:textId="51E4979D" w:rsidR="003626E4" w:rsidRPr="003626E4" w:rsidRDefault="003626E4">
      <w:pPr>
        <w:adjustRightInd w:val="0"/>
        <w:snapToGrid w:val="0"/>
        <w:spacing w:line="360" w:lineRule="auto"/>
        <w:ind w:firstLineChars="200" w:firstLine="480"/>
        <w:outlineLvl w:val="0"/>
        <w:rPr>
          <w:rFonts w:ascii="宋体" w:hAnsi="宋体" w:cs="Arial"/>
          <w:sz w:val="24"/>
        </w:rPr>
      </w:pPr>
      <w:r w:rsidRPr="003626E4">
        <w:rPr>
          <w:rFonts w:ascii="宋体" w:hAnsi="宋体" w:cs="Arial" w:hint="eastAsia"/>
          <w:sz w:val="24"/>
        </w:rPr>
        <w:t>基金管理人运用本基金财产申购自身管理的基金的（ETF除外），应当通过直销渠道申购且不得收取申购费、赎回费（按照相关法规、基金招募说明书约定应当收取，并计入基金财产的赎回费用除外）、销售服务费等销售费用。</w:t>
      </w:r>
    </w:p>
    <w:p w14:paraId="4A63729E"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（五）不列入基金费用的项目</w:t>
      </w:r>
    </w:p>
    <w:p w14:paraId="6431005F" w14:textId="18569778"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《基金合同》生效前的</w:t>
      </w:r>
      <w:r w:rsidR="003626E4">
        <w:rPr>
          <w:rFonts w:ascii="宋体" w:hAnsi="宋体" w:cs="Arial" w:hint="eastAsia"/>
          <w:sz w:val="24"/>
        </w:rPr>
        <w:t>相关费用（</w:t>
      </w:r>
      <w:r>
        <w:rPr>
          <w:rFonts w:ascii="宋体" w:hAnsi="宋体" w:cs="Arial" w:hint="eastAsia"/>
          <w:sz w:val="24"/>
        </w:rPr>
        <w:t>律师费、会计师费和信息披露费用</w:t>
      </w:r>
      <w:r w:rsidR="003626E4">
        <w:rPr>
          <w:rFonts w:ascii="宋体" w:hAnsi="宋体" w:cs="Arial" w:hint="eastAsia"/>
          <w:sz w:val="24"/>
        </w:rPr>
        <w:t>等）</w:t>
      </w:r>
      <w:r>
        <w:rPr>
          <w:rFonts w:ascii="宋体" w:hAnsi="宋体" w:cs="Arial" w:hint="eastAsia"/>
          <w:sz w:val="24"/>
        </w:rPr>
        <w:t>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46E828B5"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（六）基金管理费、基金托管费和销售服务费的调整</w:t>
      </w:r>
    </w:p>
    <w:p w14:paraId="536E8CAE" w14:textId="4C62D07C" w:rsidR="00353BD1" w:rsidRDefault="00082239">
      <w:pPr>
        <w:adjustRightInd w:val="0"/>
        <w:snapToGrid w:val="0"/>
        <w:spacing w:line="360" w:lineRule="auto"/>
        <w:ind w:firstLineChars="200" w:firstLine="480"/>
        <w:outlineLvl w:val="0"/>
        <w:rPr>
          <w:rFonts w:ascii="宋体" w:hAnsi="宋体" w:cs="Arial"/>
          <w:sz w:val="24"/>
        </w:rPr>
      </w:pPr>
      <w:r w:rsidRPr="00082239">
        <w:rPr>
          <w:rFonts w:ascii="宋体" w:hAnsi="宋体" w:cs="Arial"/>
          <w:sz w:val="24"/>
        </w:rPr>
        <w:t>基金管理人和基金托管人可根据基金发展情况调整本基金或某一类基金份额 的管理费、托管费和销售服务费，并经履行适当程序。基金管理人必须依照有关规定最迟于新的费率实施日</w:t>
      </w:r>
      <w:r w:rsidR="00BC3EF8">
        <w:rPr>
          <w:rFonts w:ascii="宋体" w:hAnsi="宋体" w:cs="Arial" w:hint="eastAsia"/>
          <w:sz w:val="24"/>
        </w:rPr>
        <w:t>2日</w:t>
      </w:r>
      <w:r w:rsidRPr="00082239">
        <w:rPr>
          <w:rFonts w:ascii="宋体" w:hAnsi="宋体" w:cs="Arial"/>
          <w:sz w:val="24"/>
        </w:rPr>
        <w:t>前在规定媒介上刊登公告</w:t>
      </w:r>
      <w:r w:rsidR="00064D22">
        <w:rPr>
          <w:rFonts w:ascii="宋体" w:hAnsi="宋体" w:cs="Arial" w:hint="eastAsia"/>
          <w:sz w:val="24"/>
        </w:rPr>
        <w:t>。</w:t>
      </w:r>
    </w:p>
    <w:p w14:paraId="5317E2C0"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（七）基金管理费、基金托管费、销售服务费的复核程序、支付方式和时间</w:t>
      </w:r>
    </w:p>
    <w:p w14:paraId="5662BD0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1.复核程序</w:t>
      </w:r>
    </w:p>
    <w:p w14:paraId="24FAE19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基金托管人对基金管理人计提的基金管理费、基金托管费、销售服务费等，根据本托管协议和《基金合同》的有关规定进行复核。</w:t>
      </w:r>
    </w:p>
    <w:p w14:paraId="47ACC6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2.支付方式和时间</w:t>
      </w:r>
    </w:p>
    <w:p w14:paraId="4A443CE0" w14:textId="26B20034"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基金管理费、基金托管费每日计提，逐日累计至每月月末，按月支付。由基金托管人根据与基金管理人核对一致的财务数据，按照与</w:t>
      </w:r>
      <w:bookmarkStart w:id="99" w:name="_GoBack"/>
      <w:bookmarkEnd w:id="99"/>
      <w:r>
        <w:rPr>
          <w:rFonts w:ascii="宋体" w:hAnsi="宋体" w:cs="Arial" w:hint="eastAsia"/>
          <w:sz w:val="24"/>
        </w:rPr>
        <w:t>基金管理人协商一致的方式在</w:t>
      </w:r>
      <w:r w:rsidR="00181807">
        <w:rPr>
          <w:rFonts w:ascii="宋体" w:hAnsi="宋体" w:cs="Arial" w:hint="eastAsia"/>
          <w:sz w:val="24"/>
        </w:rPr>
        <w:t>次</w:t>
      </w:r>
      <w:r>
        <w:rPr>
          <w:rFonts w:ascii="宋体" w:hAnsi="宋体" w:cs="Arial" w:hint="eastAsia"/>
          <w:sz w:val="24"/>
        </w:rPr>
        <w:t>月初5个工作日内按照指定的账户路径进行资金支付。若遇法定节假日、</w:t>
      </w:r>
      <w:r w:rsidR="00F11323">
        <w:rPr>
          <w:rFonts w:ascii="宋体" w:hAnsi="宋体" w:cs="Arial" w:hint="eastAsia"/>
          <w:sz w:val="24"/>
        </w:rPr>
        <w:t>公休假</w:t>
      </w:r>
      <w:r>
        <w:rPr>
          <w:rFonts w:ascii="宋体" w:hAnsi="宋体" w:cs="Arial" w:hint="eastAsia"/>
          <w:sz w:val="24"/>
        </w:rPr>
        <w:t>等，支付日期顺延。</w:t>
      </w:r>
      <w:r>
        <w:rPr>
          <w:rFonts w:hint="eastAsia"/>
          <w:bCs/>
          <w:sz w:val="24"/>
        </w:rPr>
        <w:t>费用扣划后，基金管理人应进行核对，如发现数据不符，及时联系基金托管人协商解决。</w:t>
      </w:r>
    </w:p>
    <w:p w14:paraId="60F539B8" w14:textId="77777777" w:rsidR="005D50A8" w:rsidRPr="003D04DC" w:rsidRDefault="005D50A8" w:rsidP="005D50A8">
      <w:pPr>
        <w:adjustRightInd w:val="0"/>
        <w:snapToGrid w:val="0"/>
        <w:spacing w:line="360" w:lineRule="auto"/>
        <w:ind w:firstLineChars="200" w:firstLine="480"/>
        <w:rPr>
          <w:rFonts w:ascii="宋体" w:hAnsi="宋体" w:cs="Arial"/>
          <w:sz w:val="24"/>
        </w:rPr>
      </w:pPr>
      <w:r w:rsidRPr="003D04DC">
        <w:rPr>
          <w:rFonts w:ascii="宋体" w:hAnsi="宋体" w:cs="Arial" w:hint="eastAsia"/>
          <w:sz w:val="24"/>
        </w:rPr>
        <w:t>基金销售服务费每日计提。</w:t>
      </w:r>
    </w:p>
    <w:p w14:paraId="3AB42A73" w14:textId="77777777" w:rsidR="005D50A8" w:rsidRPr="00F57934" w:rsidRDefault="005D50A8" w:rsidP="005D50A8">
      <w:pPr>
        <w:adjustRightInd w:val="0"/>
        <w:snapToGrid w:val="0"/>
        <w:spacing w:line="360" w:lineRule="auto"/>
        <w:ind w:firstLineChars="200" w:firstLine="480"/>
        <w:rPr>
          <w:rFonts w:ascii="宋体" w:hAnsi="宋体" w:cs="Arial"/>
          <w:sz w:val="24"/>
        </w:rPr>
      </w:pPr>
      <w:r w:rsidRPr="003D04DC">
        <w:rPr>
          <w:rFonts w:ascii="宋体" w:hAnsi="宋体" w:cs="Arial" w:hint="eastAsia"/>
          <w:sz w:val="24"/>
        </w:rPr>
        <w:t>（</w:t>
      </w:r>
      <w:r w:rsidRPr="00F57934">
        <w:rPr>
          <w:rFonts w:ascii="宋体" w:hAnsi="宋体" w:cs="Arial" w:hint="eastAsia"/>
          <w:sz w:val="24"/>
        </w:rPr>
        <w:t>1）直销机构：</w:t>
      </w:r>
    </w:p>
    <w:p w14:paraId="2CCD591E" w14:textId="2DA369B9" w:rsidR="005D50A8" w:rsidRPr="006873D5" w:rsidRDefault="005D50A8" w:rsidP="005D50A8">
      <w:pPr>
        <w:adjustRightInd w:val="0"/>
        <w:snapToGrid w:val="0"/>
        <w:spacing w:line="360" w:lineRule="auto"/>
        <w:ind w:firstLineChars="200" w:firstLine="480"/>
        <w:rPr>
          <w:rFonts w:ascii="宋体" w:hAnsi="宋体" w:cs="Arial"/>
          <w:sz w:val="24"/>
        </w:rPr>
      </w:pPr>
      <w:r w:rsidRPr="00F57934">
        <w:rPr>
          <w:rFonts w:ascii="宋体" w:hAnsi="宋体" w:cs="Arial" w:hint="eastAsia"/>
          <w:sz w:val="24"/>
        </w:rPr>
        <w:t>对于投资者通过直销机构持有的C类基金份额计提的销售服务费，在投资者赎回C类基金份额或基金合同终止时，随赎回款（或清算款）一并返还给投资者。</w:t>
      </w:r>
      <w:r w:rsidR="006873D5" w:rsidRPr="00856B38">
        <w:rPr>
          <w:rFonts w:ascii="宋体" w:hAnsi="宋体" w:cs="Arial" w:hint="eastAsia"/>
          <w:sz w:val="24"/>
        </w:rPr>
        <w:t>若遇法定节假日、公休日或不可抗力等，支付日期顺延。</w:t>
      </w:r>
    </w:p>
    <w:p w14:paraId="5CE0977B" w14:textId="77777777" w:rsidR="005D50A8" w:rsidRPr="00F57934" w:rsidRDefault="005D50A8" w:rsidP="005D50A8">
      <w:pPr>
        <w:adjustRightInd w:val="0"/>
        <w:snapToGrid w:val="0"/>
        <w:spacing w:line="360" w:lineRule="auto"/>
        <w:ind w:firstLineChars="200" w:firstLine="480"/>
        <w:rPr>
          <w:rFonts w:ascii="宋体" w:hAnsi="宋体" w:cs="Arial"/>
          <w:sz w:val="24"/>
        </w:rPr>
      </w:pPr>
      <w:r w:rsidRPr="00F57934">
        <w:rPr>
          <w:rFonts w:ascii="宋体" w:hAnsi="宋体" w:cs="Arial" w:hint="eastAsia"/>
          <w:sz w:val="24"/>
        </w:rPr>
        <w:t>基金管理人基金销售子公司销售母公司所管理基金的，按照本条要求执行。</w:t>
      </w:r>
    </w:p>
    <w:p w14:paraId="2F2043BE" w14:textId="77777777" w:rsidR="005D50A8" w:rsidRPr="00F57934" w:rsidRDefault="005D50A8" w:rsidP="005D50A8">
      <w:pPr>
        <w:adjustRightInd w:val="0"/>
        <w:snapToGrid w:val="0"/>
        <w:spacing w:line="360" w:lineRule="auto"/>
        <w:ind w:firstLineChars="200" w:firstLine="480"/>
        <w:rPr>
          <w:rFonts w:ascii="宋体" w:hAnsi="宋体" w:cs="Arial"/>
          <w:sz w:val="24"/>
        </w:rPr>
      </w:pPr>
      <w:r w:rsidRPr="00F57934">
        <w:rPr>
          <w:rFonts w:ascii="宋体" w:hAnsi="宋体" w:cs="Arial" w:hint="eastAsia"/>
          <w:sz w:val="24"/>
        </w:rPr>
        <w:t>（2）直销机构以外的其他销售机构：</w:t>
      </w:r>
    </w:p>
    <w:p w14:paraId="03D3A5BF" w14:textId="1FD7D46F" w:rsidR="005D50A8" w:rsidRPr="00F57934" w:rsidRDefault="005D50A8" w:rsidP="005D50A8">
      <w:pPr>
        <w:adjustRightInd w:val="0"/>
        <w:snapToGrid w:val="0"/>
        <w:spacing w:line="360" w:lineRule="auto"/>
        <w:ind w:firstLineChars="200" w:firstLine="480"/>
        <w:rPr>
          <w:rFonts w:ascii="宋体" w:hAnsi="宋体" w:cs="Arial"/>
          <w:sz w:val="24"/>
        </w:rPr>
      </w:pPr>
      <w:r w:rsidRPr="00F57934">
        <w:rPr>
          <w:rFonts w:ascii="宋体" w:hAnsi="宋体" w:cs="Arial" w:hint="eastAsia"/>
          <w:sz w:val="24"/>
        </w:rPr>
        <w:t>对于投资者持续持有期限未超过一年（即365天，下同） 的基金份额收取的销售服务费，逐日累计至每月月末，按月支付，按照与基金管理人协商一致的方式在次月初5个工作日内按照指定的账户路径进行支付。若遇法定节假日、公休假等，支付日期顺延。</w:t>
      </w:r>
    </w:p>
    <w:p w14:paraId="6D04B2E1" w14:textId="6566A129" w:rsidR="005D50A8" w:rsidRPr="007B3D53" w:rsidRDefault="005D50A8" w:rsidP="005D50A8">
      <w:pPr>
        <w:adjustRightInd w:val="0"/>
        <w:snapToGrid w:val="0"/>
        <w:spacing w:line="360" w:lineRule="auto"/>
        <w:ind w:firstLineChars="200" w:firstLine="480"/>
        <w:rPr>
          <w:rFonts w:ascii="宋体" w:hAnsi="宋体" w:cs="Arial"/>
          <w:sz w:val="24"/>
        </w:rPr>
      </w:pPr>
      <w:r w:rsidRPr="00F57934">
        <w:rPr>
          <w:rFonts w:ascii="宋体" w:hAnsi="宋体" w:cs="Arial" w:hint="eastAsia"/>
          <w:sz w:val="24"/>
        </w:rPr>
        <w:t>对于持续持有期限超过一年的基金份额，持有超过一年后继续计提的销售服务费，在投资者赎回基金份额或基金合同终止时，随赎回款（或清算款）一并返还给投资者</w:t>
      </w:r>
      <w:r w:rsidRPr="003D04DC">
        <w:rPr>
          <w:rFonts w:ascii="宋体" w:hAnsi="宋体" w:cs="Arial" w:hint="eastAsia"/>
          <w:sz w:val="24"/>
        </w:rPr>
        <w:t>。</w:t>
      </w:r>
      <w:r w:rsidR="007B3D53" w:rsidRPr="00A01DE8">
        <w:rPr>
          <w:rFonts w:hint="eastAsia"/>
          <w:bCs/>
          <w:sz w:val="24"/>
        </w:rPr>
        <w:t>若遇法定节假日、公休日或不可抗力等，支付日期顺延。</w:t>
      </w:r>
    </w:p>
    <w:p w14:paraId="4B298632" w14:textId="77777777" w:rsidR="007B3D53" w:rsidRPr="00856B38" w:rsidRDefault="007B3D53" w:rsidP="007B3D53">
      <w:pPr>
        <w:adjustRightInd w:val="0"/>
        <w:snapToGrid w:val="0"/>
        <w:spacing w:line="360" w:lineRule="auto"/>
        <w:ind w:firstLineChars="200" w:firstLine="480"/>
        <w:rPr>
          <w:rFonts w:ascii="宋体" w:hAnsi="宋体" w:cs="Arial"/>
          <w:sz w:val="24"/>
        </w:rPr>
      </w:pPr>
      <w:r w:rsidRPr="005A2AFD">
        <w:rPr>
          <w:rFonts w:ascii="宋体" w:hAnsi="宋体" w:cs="Arial" w:hint="eastAsia"/>
          <w:sz w:val="24"/>
        </w:rPr>
        <w:t>因涉及相关数据，基金管理人及代销机构的销售服务费的计算和复核工作由基金管理人完成，相关信息以注册登记机构计算结果为准，基金托管人不承担复核</w:t>
      </w:r>
      <w:r w:rsidRPr="005A2AFD">
        <w:rPr>
          <w:rFonts w:ascii="宋体" w:hAnsi="宋体" w:cs="Arial" w:hint="eastAsia"/>
          <w:sz w:val="24"/>
        </w:rPr>
        <w:lastRenderedPageBreak/>
        <w:t>责任。</w:t>
      </w:r>
    </w:p>
    <w:p w14:paraId="550EAF7E" w14:textId="696F4706"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在首期支付基金管理费、销售服务费前，基金管理人应向托管人出具正式函件指定基金管理费、销售服务费的收款账户。基金管理人如需要变更此账户，应提前5个工作日向托管人出具书面的收款账户变更通知。</w:t>
      </w:r>
    </w:p>
    <w:p w14:paraId="2F6F5F1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（八）违规处理方式</w:t>
      </w:r>
    </w:p>
    <w:p w14:paraId="5EA0124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DE92F1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（九）实施侧袋机制期间的基金费用</w:t>
      </w:r>
    </w:p>
    <w:p w14:paraId="35C0594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本基金实施侧袋机制的，与侧袋账户有关的费用可以从侧袋账户中列支，但应待侧袋账户资产变现后方可列支，有关费用可酌情收取或减免，但不得收取基金管理费</w:t>
      </w:r>
      <w:r>
        <w:rPr>
          <w:rFonts w:hint="eastAsia"/>
          <w:bCs/>
          <w:sz w:val="24"/>
        </w:rPr>
        <w:t>（包含固定管理费、或有管理费和超额管理费）</w:t>
      </w:r>
      <w:r>
        <w:rPr>
          <w:rFonts w:ascii="宋体" w:hAnsi="宋体" w:cs="Arial" w:hint="eastAsia"/>
          <w:sz w:val="24"/>
        </w:rPr>
        <w:t>，详见招募说明书的规定。</w:t>
      </w:r>
    </w:p>
    <w:p w14:paraId="2F2DBD0E" w14:textId="77777777" w:rsidR="00353BD1" w:rsidRDefault="00353BD1">
      <w:pPr>
        <w:adjustRightInd w:val="0"/>
        <w:snapToGrid w:val="0"/>
        <w:spacing w:line="360" w:lineRule="auto"/>
        <w:rPr>
          <w:rFonts w:ascii="宋体" w:hAnsi="宋体" w:cs="Arial"/>
          <w:sz w:val="24"/>
        </w:rPr>
      </w:pPr>
    </w:p>
    <w:p w14:paraId="08BA87C6" w14:textId="77777777" w:rsidR="00353BD1" w:rsidRDefault="00064D22">
      <w:pPr>
        <w:pStyle w:val="2"/>
        <w:spacing w:line="360" w:lineRule="auto"/>
        <w:jc w:val="center"/>
        <w:rPr>
          <w:rFonts w:ascii="宋体" w:eastAsia="宋体" w:hAnsi="宋体"/>
          <w:sz w:val="30"/>
        </w:rPr>
      </w:pPr>
      <w:bookmarkStart w:id="100" w:name="_Toc124325896"/>
      <w:r>
        <w:rPr>
          <w:rFonts w:ascii="宋体" w:eastAsia="宋体" w:hAnsi="宋体" w:hint="eastAsia"/>
          <w:sz w:val="30"/>
        </w:rPr>
        <w:t>十二、基金份额持有人名册的保管</w:t>
      </w:r>
      <w:bookmarkEnd w:id="100"/>
    </w:p>
    <w:p w14:paraId="76F7678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低于法律法规规定的最低期限。如不能妥善保管，则按相关法规承担责任。</w:t>
      </w:r>
    </w:p>
    <w:p w14:paraId="0C4CAE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在基金托管人要求或编制中期报告和年度报告前，基金管理人应将有关资料送交基金托管人，不得无故拒绝或延误提供，并保证其真实性、准确性和完整性。</w:t>
      </w:r>
      <w:r>
        <w:rPr>
          <w:rFonts w:ascii="宋体" w:hAnsi="宋体" w:hint="eastAsia"/>
          <w:kern w:val="0"/>
          <w:sz w:val="24"/>
        </w:rPr>
        <w:t>基金托管人不得将所保管的基金份额持有人名册用于基金托管业务以外的其他用途，并应遵守保密义务。</w:t>
      </w:r>
    </w:p>
    <w:p w14:paraId="74CA28AF" w14:textId="77777777" w:rsidR="00353BD1" w:rsidRDefault="00353BD1">
      <w:pPr>
        <w:adjustRightInd w:val="0"/>
        <w:snapToGrid w:val="0"/>
        <w:spacing w:line="360" w:lineRule="auto"/>
        <w:rPr>
          <w:rFonts w:ascii="宋体" w:hAnsi="宋体" w:cs="Arial"/>
          <w:sz w:val="24"/>
        </w:rPr>
      </w:pPr>
    </w:p>
    <w:p w14:paraId="0A87A7EE" w14:textId="77777777" w:rsidR="00353BD1" w:rsidRDefault="00064D22">
      <w:pPr>
        <w:pStyle w:val="2"/>
        <w:spacing w:line="360" w:lineRule="auto"/>
        <w:jc w:val="center"/>
        <w:rPr>
          <w:rFonts w:ascii="宋体" w:eastAsia="宋体" w:hAnsi="宋体"/>
          <w:sz w:val="30"/>
        </w:rPr>
      </w:pPr>
      <w:bookmarkStart w:id="101" w:name="_Toc124325897"/>
      <w:r>
        <w:rPr>
          <w:rFonts w:ascii="宋体" w:eastAsia="宋体" w:hAnsi="宋体" w:hint="eastAsia"/>
          <w:sz w:val="30"/>
        </w:rPr>
        <w:t>十三、基金有关文件档案的保存</w:t>
      </w:r>
      <w:bookmarkEnd w:id="101"/>
    </w:p>
    <w:p w14:paraId="11420DBC"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（一）档案保存</w:t>
      </w:r>
    </w:p>
    <w:p w14:paraId="2E15A89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基金管理人应保存基金财产管理业务活动的记录、账册、报表和其他相关资料。基金托管人应保存基金托管业务活动的记录、账册、报表和其他相关资料。基金管</w:t>
      </w:r>
      <w:r>
        <w:rPr>
          <w:rFonts w:ascii="宋体" w:hAnsi="宋体" w:cs="Arial" w:hint="eastAsia"/>
          <w:sz w:val="24"/>
        </w:rPr>
        <w:lastRenderedPageBreak/>
        <w:t>理人和基金托管人都应当按规定的期限保管。保存期限不低于法律法规规定的最低期限。</w:t>
      </w:r>
    </w:p>
    <w:p w14:paraId="0FF13A51"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（二）合同档案的建立</w:t>
      </w:r>
    </w:p>
    <w:p w14:paraId="3456F54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1.基金管理人签署重大合同文本后，应及时将合同文本正本送达基金托管人处。</w:t>
      </w:r>
    </w:p>
    <w:p w14:paraId="070C024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2.基金管理人应及时将与本基金账务处理、资金划拨等有关的合同、协议传真基金托管人。</w:t>
      </w:r>
    </w:p>
    <w:p w14:paraId="72BF353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（三）变更与协助</w:t>
      </w:r>
    </w:p>
    <w:p w14:paraId="2C68F192" w14:textId="77777777" w:rsidR="00353BD1" w:rsidRDefault="00064D22">
      <w:pPr>
        <w:adjustRightInd w:val="0"/>
        <w:snapToGrid w:val="0"/>
        <w:spacing w:line="360" w:lineRule="auto"/>
        <w:ind w:firstLineChars="200" w:firstLine="480"/>
        <w:rPr>
          <w:rFonts w:ascii="宋体" w:hAnsi="宋体"/>
          <w:b/>
          <w:bCs/>
          <w:sz w:val="30"/>
          <w:szCs w:val="30"/>
        </w:rPr>
      </w:pPr>
      <w:r>
        <w:rPr>
          <w:rFonts w:ascii="宋体" w:hAnsi="宋体" w:cs="Arial" w:hint="eastAsia"/>
          <w:sz w:val="24"/>
        </w:rPr>
        <w:t>若基金管理人/基金托管人发生变更，未变更的一方有义务协助变更后的接任人接收相应文件。</w:t>
      </w:r>
    </w:p>
    <w:p w14:paraId="5108343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（四）基金管理人和基金托管人应按各自职责完整保存原始凭证、记账凭证、基金账册、交易记录和重要合同等，承担保密义务并保存</w:t>
      </w:r>
      <w:r>
        <w:rPr>
          <w:rFonts w:ascii="宋体" w:hAnsi="宋体" w:hint="eastAsia"/>
          <w:color w:val="000000"/>
        </w:rPr>
        <w:t>不低于</w:t>
      </w:r>
      <w:r>
        <w:rPr>
          <w:rFonts w:ascii="宋体" w:hAnsi="宋体" w:hint="eastAsia"/>
          <w:color w:val="000000"/>
          <w:szCs w:val="21"/>
        </w:rPr>
        <w:t>法律法规规定的最低期限</w:t>
      </w:r>
      <w:r>
        <w:rPr>
          <w:rFonts w:ascii="宋体" w:hAnsi="宋体" w:cs="Arial" w:hint="eastAsia"/>
          <w:sz w:val="24"/>
        </w:rPr>
        <w:t>。</w:t>
      </w:r>
    </w:p>
    <w:p w14:paraId="42C9364B" w14:textId="77777777" w:rsidR="00353BD1" w:rsidRDefault="00353BD1">
      <w:pPr>
        <w:adjustRightInd w:val="0"/>
        <w:snapToGrid w:val="0"/>
        <w:spacing w:line="360" w:lineRule="auto"/>
        <w:rPr>
          <w:rFonts w:ascii="宋体" w:hAnsi="宋体"/>
          <w:sz w:val="30"/>
          <w:szCs w:val="30"/>
        </w:rPr>
      </w:pPr>
    </w:p>
    <w:p w14:paraId="3C34BA2E" w14:textId="77777777" w:rsidR="00353BD1" w:rsidRDefault="00064D22">
      <w:pPr>
        <w:pStyle w:val="2"/>
        <w:spacing w:line="360" w:lineRule="auto"/>
        <w:jc w:val="center"/>
        <w:rPr>
          <w:rFonts w:ascii="宋体" w:eastAsia="宋体" w:hAnsi="宋体"/>
          <w:sz w:val="30"/>
        </w:rPr>
      </w:pPr>
      <w:bookmarkStart w:id="102" w:name="_Toc124325898"/>
      <w:r>
        <w:rPr>
          <w:rFonts w:ascii="宋体" w:eastAsia="宋体" w:hAnsi="宋体" w:hint="eastAsia"/>
          <w:sz w:val="30"/>
        </w:rPr>
        <w:t>十四、基金管理人和基金托管人的更换</w:t>
      </w:r>
      <w:bookmarkEnd w:id="102"/>
    </w:p>
    <w:p w14:paraId="4DD755D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（一）基金管理人职责终止的情形</w:t>
      </w:r>
    </w:p>
    <w:p w14:paraId="590619B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1.基金管理人职责终止的情形</w:t>
      </w:r>
    </w:p>
    <w:p w14:paraId="5A1542D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有下列情形之一的，基金管理人职责终止：</w:t>
      </w:r>
    </w:p>
    <w:p w14:paraId="7CB134B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(1)被依法取消基金管理资格；</w:t>
      </w:r>
    </w:p>
    <w:p w14:paraId="3541880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2E0BA20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0F5480B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37DB154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2.基金管理人的更换程序</w:t>
      </w:r>
    </w:p>
    <w:p w14:paraId="6ACCC12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更换基金管理人必须依照如下程序进行：</w:t>
      </w:r>
    </w:p>
    <w:p w14:paraId="4C1AC60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(1)提名：新任基金管理人由基金托管人</w:t>
      </w:r>
      <w:r>
        <w:rPr>
          <w:rFonts w:ascii="宋体" w:hAnsi="宋体" w:hint="eastAsia"/>
          <w:sz w:val="24"/>
        </w:rPr>
        <w:t>或由单独或合计持有10%以上(含10%)基金份额的基金份额持有人</w:t>
      </w:r>
      <w:r>
        <w:rPr>
          <w:rFonts w:ascii="宋体" w:hAnsi="宋体" w:cs="Arial" w:hint="eastAsia"/>
          <w:sz w:val="24"/>
        </w:rPr>
        <w:t>提名；</w:t>
      </w:r>
    </w:p>
    <w:p w14:paraId="3A2B60F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(2)决议：基金份额持有人大会在基金管理人职责终止后6个月内对被提名的基金管理人形成决议，该决议需经参加大会的基金份额持有人所持表决权的三分</w:t>
      </w:r>
      <w:r>
        <w:rPr>
          <w:rFonts w:ascii="宋体" w:hAnsi="宋体" w:cs="Arial" w:hint="eastAsia"/>
          <w:sz w:val="24"/>
        </w:rPr>
        <w:lastRenderedPageBreak/>
        <w:t>之二以上(含三分之二)表决通过；</w:t>
      </w:r>
    </w:p>
    <w:p w14:paraId="2D34CC7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(3)临时基金管理人：新任基金管理人产生之前，由中国证监会指定临时基金管理人；</w:t>
      </w:r>
    </w:p>
    <w:p w14:paraId="5D93A83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(4)备案：基金份额持有人大会选任基金管理人的决议须报中国证监会备案；</w:t>
      </w:r>
    </w:p>
    <w:p w14:paraId="04A8794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(5)公告：基金管理人更换后，由基金托管人在更换基金管理人的基金份额持有人大会决议生效后2日内在规定媒介公告；</w:t>
      </w:r>
    </w:p>
    <w:p w14:paraId="4E408C7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净值信息；</w:t>
      </w:r>
    </w:p>
    <w:p w14:paraId="1D590FD1" w14:textId="68DCFE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(7)审计：基金管理人职责终止的，应当按照法律法规规定聘请</w:t>
      </w:r>
      <w:r w:rsidR="0023449A" w:rsidRPr="0023449A">
        <w:rPr>
          <w:rFonts w:ascii="宋体" w:hAnsi="宋体" w:cs="Arial" w:hint="eastAsia"/>
          <w:sz w:val="24"/>
        </w:rPr>
        <w:t>符合《证券法》规定的</w:t>
      </w:r>
      <w:r>
        <w:rPr>
          <w:rFonts w:ascii="宋体" w:hAnsi="宋体" w:cs="Arial" w:hint="eastAsia"/>
          <w:sz w:val="24"/>
        </w:rPr>
        <w:t>会计师事务所对基金财产进行审计，并将审计结果予以公告，同时报中国证监会备案；</w:t>
      </w:r>
    </w:p>
    <w:p w14:paraId="7CC077F3" w14:textId="77777777" w:rsidR="00353BD1" w:rsidRDefault="00064D22">
      <w:pPr>
        <w:adjustRightInd w:val="0"/>
        <w:snapToGrid w:val="0"/>
        <w:spacing w:line="360" w:lineRule="auto"/>
        <w:ind w:firstLineChars="200" w:firstLine="480"/>
        <w:rPr>
          <w:rFonts w:ascii="宋体" w:hAnsi="宋体"/>
          <w:sz w:val="30"/>
          <w:szCs w:val="30"/>
        </w:rPr>
      </w:pPr>
      <w:r>
        <w:rPr>
          <w:rFonts w:ascii="宋体" w:hAnsi="宋体" w:cs="Arial" w:hint="eastAsia"/>
          <w:sz w:val="24"/>
        </w:rPr>
        <w:t>(8)基金名称变更：基金管理人更换后，如果原任或新任基金管理人要求，应按其要求替换或删除基金名称中与原基金管理人有关的名称字样。</w:t>
      </w:r>
    </w:p>
    <w:p w14:paraId="7EC699D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（二）基金托管人职责终止的情形</w:t>
      </w:r>
    </w:p>
    <w:p w14:paraId="2409A5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1.基金托管人职责终止的情形</w:t>
      </w:r>
    </w:p>
    <w:p w14:paraId="211B2C79"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有下列情形之一的，基金托管人职责终止：</w:t>
      </w:r>
    </w:p>
    <w:p w14:paraId="2A85DF7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(1)被依法取消基金托管资格；</w:t>
      </w:r>
    </w:p>
    <w:p w14:paraId="6CD9E8C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(2)依法解散、被依法撤销或被依法宣告破产；</w:t>
      </w:r>
    </w:p>
    <w:p w14:paraId="7EC5499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(3)被基金份额持有人大会解任；</w:t>
      </w:r>
    </w:p>
    <w:p w14:paraId="71A4A0A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(4)法律法规及中国证监会规定的和《基金合同》约定的其他情形。</w:t>
      </w:r>
    </w:p>
    <w:p w14:paraId="53B5456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2.基金托管人的更换程序</w:t>
      </w:r>
    </w:p>
    <w:p w14:paraId="6C341C3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(1)提名：新任基金托管人由基金管理人</w:t>
      </w:r>
      <w:r>
        <w:rPr>
          <w:rFonts w:ascii="宋体" w:hAnsi="宋体" w:hint="eastAsia"/>
          <w:sz w:val="24"/>
        </w:rPr>
        <w:t>或由单独或合计持有10%以上(含10%)基金份额的基金份额持有人</w:t>
      </w:r>
      <w:r>
        <w:rPr>
          <w:rFonts w:ascii="宋体" w:hAnsi="宋体" w:cs="Arial" w:hint="eastAsia"/>
          <w:sz w:val="24"/>
        </w:rPr>
        <w:t>提名；</w:t>
      </w:r>
    </w:p>
    <w:p w14:paraId="262B52B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14:paraId="6711A75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(3)临时基金托管人：新任基金托管人产生之前，由中国证监会指定临时基金托管人；</w:t>
      </w:r>
    </w:p>
    <w:p w14:paraId="2B4EE6B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(4)备案：基金份额持有人大会更换基金托管人的决议须报中国证监会备案；</w:t>
      </w:r>
    </w:p>
    <w:p w14:paraId="0CF6CAD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(5)公告：基金托管人更换后，由基金管理人在更换基金托管人的基金份额持有人大会决议生效后 2日内在规定媒介公告；</w:t>
      </w:r>
    </w:p>
    <w:p w14:paraId="72D035FA"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净值信息；</w:t>
      </w:r>
    </w:p>
    <w:p w14:paraId="38B3A78A" w14:textId="54C0C9EF"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(7)审计：基金托管人职责终止的，应当按照法律法规规定聘请</w:t>
      </w:r>
      <w:r w:rsidR="0023449A" w:rsidRPr="0023449A">
        <w:rPr>
          <w:rFonts w:ascii="宋体" w:hAnsi="宋体" w:cs="Arial" w:hint="eastAsia"/>
          <w:sz w:val="24"/>
        </w:rPr>
        <w:t>符合《证券法》规定的</w:t>
      </w:r>
      <w:r>
        <w:rPr>
          <w:rFonts w:ascii="宋体" w:hAnsi="宋体" w:cs="Arial" w:hint="eastAsia"/>
          <w:sz w:val="24"/>
        </w:rPr>
        <w:t>会计师事务所对基金财产进行审计，并将审计结果予以公告，同时报中国证监会备案。</w:t>
      </w:r>
    </w:p>
    <w:p w14:paraId="5F2F2C6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（三）基金管理人与基金托管人同时更换的条件和程序</w:t>
      </w:r>
    </w:p>
    <w:p w14:paraId="2FC6578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1.提名：如果基金管理人和基金托管人同时更换，由单独或合计持有基金总份额10%以上(含10%)的基金份额持有人提名新的基金管理人和基金托管人；</w:t>
      </w:r>
    </w:p>
    <w:p w14:paraId="671800F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2.基金管理人和基金托管人的更换分别按上述程序进行；</w:t>
      </w:r>
    </w:p>
    <w:p w14:paraId="1EEB309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3.公告：新任基金管理人和新任基金托管人应在更换基金管理人和基金托管人的基金份额持有人大会决议生效后2日内在规定媒介上联合公告。</w:t>
      </w:r>
    </w:p>
    <w:p w14:paraId="3FB5128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原基金管理人或原基金托管人在继续履行相关职责期间，仍有权按照基金合同和本协议的规定收取基金管理费或基金托管费。</w:t>
      </w:r>
    </w:p>
    <w:p w14:paraId="209401C2" w14:textId="77777777" w:rsidR="00353BD1" w:rsidRDefault="00353BD1">
      <w:pPr>
        <w:adjustRightInd w:val="0"/>
        <w:snapToGrid w:val="0"/>
        <w:spacing w:line="360" w:lineRule="auto"/>
        <w:rPr>
          <w:rFonts w:ascii="宋体" w:hAnsi="宋体" w:cs="Arial"/>
          <w:sz w:val="24"/>
        </w:rPr>
      </w:pPr>
    </w:p>
    <w:p w14:paraId="691444F8" w14:textId="77777777" w:rsidR="00353BD1" w:rsidRDefault="00064D22">
      <w:pPr>
        <w:pStyle w:val="2"/>
        <w:spacing w:line="360" w:lineRule="auto"/>
        <w:jc w:val="center"/>
        <w:rPr>
          <w:rFonts w:ascii="宋体" w:eastAsia="宋体" w:hAnsi="宋体"/>
          <w:sz w:val="30"/>
        </w:rPr>
      </w:pPr>
      <w:bookmarkStart w:id="103" w:name="_Toc124325899"/>
      <w:r>
        <w:rPr>
          <w:rFonts w:ascii="宋体" w:eastAsia="宋体" w:hAnsi="宋体" w:hint="eastAsia"/>
          <w:sz w:val="30"/>
        </w:rPr>
        <w:t>十五、禁止行为</w:t>
      </w:r>
      <w:bookmarkEnd w:id="103"/>
    </w:p>
    <w:p w14:paraId="49A6C199"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本协议当事人禁止从事的行为，包括但不限于：</w:t>
      </w:r>
    </w:p>
    <w:p w14:paraId="1D5DECD1" w14:textId="77777777" w:rsidR="00353BD1" w:rsidRDefault="00064D22">
      <w:pPr>
        <w:spacing w:line="360" w:lineRule="auto"/>
        <w:ind w:firstLineChars="200" w:firstLine="480"/>
        <w:rPr>
          <w:rFonts w:ascii="宋体" w:hAnsi="宋体"/>
          <w:sz w:val="24"/>
        </w:rPr>
      </w:pPr>
      <w:r>
        <w:rPr>
          <w:rFonts w:ascii="宋体" w:hAnsi="宋体" w:hint="eastAsia"/>
          <w:sz w:val="24"/>
        </w:rPr>
        <w:t>（一）基金管理人、基金托管人将其固有财产或者他人财产混同于基金财产从事证券投资。</w:t>
      </w:r>
    </w:p>
    <w:p w14:paraId="3752C66C" w14:textId="77777777" w:rsidR="00353BD1" w:rsidRDefault="00064D22">
      <w:pPr>
        <w:spacing w:line="360" w:lineRule="auto"/>
        <w:ind w:firstLineChars="200" w:firstLine="480"/>
        <w:rPr>
          <w:rFonts w:ascii="宋体" w:hAnsi="宋体"/>
        </w:rPr>
      </w:pPr>
      <w:r>
        <w:rPr>
          <w:rFonts w:ascii="宋体" w:hAnsi="宋体" w:hint="eastAsia"/>
          <w:sz w:val="24"/>
        </w:rPr>
        <w:t>（二）基金管理人不公平地对待其管理的不同基金财产，基金托管人不公平地对待其托管的不同基金财产。</w:t>
      </w:r>
    </w:p>
    <w:p w14:paraId="7D92F56C" w14:textId="77777777" w:rsidR="00353BD1" w:rsidRDefault="00064D22">
      <w:pPr>
        <w:spacing w:line="360" w:lineRule="auto"/>
        <w:ind w:firstLineChars="200" w:firstLine="480"/>
        <w:rPr>
          <w:rFonts w:ascii="宋体" w:hAnsi="宋体"/>
          <w:sz w:val="24"/>
        </w:rPr>
      </w:pPr>
      <w:r>
        <w:rPr>
          <w:rFonts w:ascii="宋体" w:hAnsi="宋体" w:hint="eastAsia"/>
          <w:sz w:val="24"/>
        </w:rPr>
        <w:lastRenderedPageBreak/>
        <w:t>（三）基金管理人、基金托管人利用基金财产为基金份额持有人以外的第三人牟取利益。</w:t>
      </w:r>
    </w:p>
    <w:p w14:paraId="09DE286C" w14:textId="77777777" w:rsidR="00353BD1" w:rsidRDefault="00064D22">
      <w:pPr>
        <w:spacing w:line="360" w:lineRule="auto"/>
        <w:ind w:firstLineChars="200" w:firstLine="480"/>
        <w:rPr>
          <w:rFonts w:ascii="宋体" w:hAnsi="宋体"/>
          <w:sz w:val="24"/>
        </w:rPr>
      </w:pPr>
      <w:r>
        <w:rPr>
          <w:rFonts w:ascii="宋体" w:hAnsi="宋体" w:hint="eastAsia"/>
          <w:sz w:val="24"/>
        </w:rPr>
        <w:t>（四）基金管理人、基金托管人向基金份额持有人违规承诺收益或者承担损失。</w:t>
      </w:r>
    </w:p>
    <w:p w14:paraId="2AC17833"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（五）基金管理人、基金托管人对他人泄露基金运作和管理过程中任何尚未按法律法规规定的方式公开披露的信息。</w:t>
      </w:r>
    </w:p>
    <w:p w14:paraId="5B2D0282" w14:textId="77777777" w:rsidR="00353BD1" w:rsidRDefault="00064D22">
      <w:pPr>
        <w:pStyle w:val="a6"/>
        <w:spacing w:line="360" w:lineRule="auto"/>
        <w:outlineLvl w:val="0"/>
        <w:rPr>
          <w:rFonts w:ascii="宋体" w:eastAsia="宋体" w:hAnsi="宋体" w:cs="Arial"/>
          <w:szCs w:val="24"/>
        </w:rPr>
      </w:pPr>
      <w:r>
        <w:rPr>
          <w:rFonts w:ascii="宋体" w:eastAsia="宋体" w:hAnsi="宋体" w:cs="Arial" w:hint="eastAsia"/>
          <w:szCs w:val="24"/>
        </w:rPr>
        <w:t>（六）基金管理人在没有充足资金的情况下向基金托管人发出投资指令和赎回、分红资金的划拨指令，或违规向基金托管人发出指令。</w:t>
      </w:r>
    </w:p>
    <w:p w14:paraId="68C62817"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（七）基金管理人、基金托管人在行政上、财务上不独立, 其高级管理人员和其他从业人员相互兼职。</w:t>
      </w:r>
    </w:p>
    <w:p w14:paraId="14FCE5A8" w14:textId="77777777" w:rsidR="00353BD1" w:rsidRDefault="00064D22">
      <w:pPr>
        <w:spacing w:line="360" w:lineRule="auto"/>
        <w:ind w:firstLineChars="200" w:firstLine="480"/>
        <w:rPr>
          <w:rFonts w:ascii="宋体" w:hAnsi="宋体" w:cs="Arial"/>
          <w:sz w:val="24"/>
        </w:rPr>
      </w:pPr>
      <w:r>
        <w:rPr>
          <w:rFonts w:ascii="宋体" w:hAnsi="宋体" w:cs="Arial" w:hint="eastAsia"/>
          <w:sz w:val="24"/>
        </w:rPr>
        <w:t>（八）基金托管人私自动用或处分基金财产，根据基金管理人的有效指令、《基金合同》或托管协议的规定进行处分的除外。</w:t>
      </w:r>
    </w:p>
    <w:p w14:paraId="450315B4" w14:textId="2E6EB6A4" w:rsidR="00353BD1" w:rsidRDefault="00064D22">
      <w:pPr>
        <w:spacing w:line="360" w:lineRule="auto"/>
        <w:ind w:firstLineChars="200" w:firstLine="480"/>
        <w:rPr>
          <w:rFonts w:ascii="宋体" w:hAnsi="宋体"/>
          <w:sz w:val="24"/>
        </w:rPr>
      </w:pPr>
      <w:r>
        <w:rPr>
          <w:rFonts w:ascii="宋体" w:hAnsi="宋体" w:hint="eastAsia"/>
          <w:sz w:val="24"/>
        </w:rPr>
        <w:t>（九）</w:t>
      </w:r>
      <w:r>
        <w:rPr>
          <w:rFonts w:ascii="宋体" w:hAnsi="宋体" w:cs="Arial" w:hint="eastAsia"/>
          <w:sz w:val="24"/>
        </w:rPr>
        <w:t>基金财产</w:t>
      </w:r>
      <w:r>
        <w:rPr>
          <w:rFonts w:ascii="宋体" w:hAnsi="宋体" w:hint="eastAsia"/>
          <w:sz w:val="24"/>
        </w:rPr>
        <w:t>用于下列投资或者活动：1.承销证券；2.违反规定向他人贷款或者提供担保；3.从事承担无限责任的投资；4.向其基金管理人、基金托管人出资；</w:t>
      </w:r>
      <w:r w:rsidR="0023449A">
        <w:rPr>
          <w:rFonts w:ascii="宋体" w:hAnsi="宋体"/>
          <w:sz w:val="24"/>
        </w:rPr>
        <w:t>5</w:t>
      </w:r>
      <w:r>
        <w:rPr>
          <w:rFonts w:ascii="宋体" w:hAnsi="宋体" w:hint="eastAsia"/>
          <w:sz w:val="24"/>
        </w:rPr>
        <w:t>.从事内幕交易、操纵证券交易价格及其他不正当的证券交易活动；</w:t>
      </w:r>
      <w:r w:rsidR="0023449A">
        <w:rPr>
          <w:rFonts w:ascii="宋体" w:hAnsi="宋体"/>
          <w:sz w:val="24"/>
        </w:rPr>
        <w:t>6</w:t>
      </w:r>
      <w:r>
        <w:rPr>
          <w:rFonts w:ascii="宋体" w:hAnsi="宋体" w:hint="eastAsia"/>
          <w:sz w:val="24"/>
        </w:rPr>
        <w:t>.法律、行政法规和国务院证券监督管理机构规定禁止的其他活动。法律法规或监管部门取消上述限制，如适用于本基金，则本基金投资不再受相关限制。</w:t>
      </w:r>
    </w:p>
    <w:p w14:paraId="226472A9" w14:textId="77777777" w:rsidR="00353BD1" w:rsidRDefault="00064D22">
      <w:pPr>
        <w:adjustRightInd w:val="0"/>
        <w:snapToGrid w:val="0"/>
        <w:spacing w:line="360" w:lineRule="auto"/>
        <w:ind w:firstLineChars="200" w:firstLine="480"/>
        <w:outlineLvl w:val="0"/>
        <w:rPr>
          <w:rFonts w:ascii="宋体" w:hAnsi="宋体"/>
          <w:sz w:val="24"/>
        </w:rPr>
      </w:pPr>
      <w:r>
        <w:rPr>
          <w:rFonts w:ascii="宋体" w:hAnsi="宋体" w:hint="eastAsia"/>
          <w:sz w:val="24"/>
        </w:rPr>
        <w:t>（十）法律法规和《基金合同》禁止的其他行为，以及依照法律、行政法规有关规定，由国务院证券监督管理机构规定禁止基金管理人、基金托管人从事的其他行为。</w:t>
      </w:r>
    </w:p>
    <w:p w14:paraId="028F6FD3" w14:textId="77777777" w:rsidR="00353BD1" w:rsidRDefault="00353BD1">
      <w:pPr>
        <w:adjustRightInd w:val="0"/>
        <w:snapToGrid w:val="0"/>
        <w:spacing w:line="360" w:lineRule="auto"/>
        <w:rPr>
          <w:rFonts w:ascii="宋体" w:hAnsi="宋体"/>
          <w:sz w:val="30"/>
          <w:szCs w:val="30"/>
        </w:rPr>
      </w:pPr>
    </w:p>
    <w:p w14:paraId="53C1AE7E" w14:textId="77777777" w:rsidR="00353BD1" w:rsidRDefault="00064D22">
      <w:pPr>
        <w:pStyle w:val="2"/>
        <w:spacing w:line="360" w:lineRule="auto"/>
        <w:jc w:val="center"/>
        <w:rPr>
          <w:rFonts w:ascii="宋体" w:eastAsia="宋体" w:hAnsi="宋体"/>
          <w:sz w:val="30"/>
        </w:rPr>
      </w:pPr>
      <w:bookmarkStart w:id="104" w:name="_Toc124325900"/>
      <w:r>
        <w:rPr>
          <w:rFonts w:ascii="宋体" w:eastAsia="宋体" w:hAnsi="宋体" w:hint="eastAsia"/>
          <w:sz w:val="30"/>
        </w:rPr>
        <w:t>十六、托管协议的变更、终止与基金财产的清算</w:t>
      </w:r>
      <w:bookmarkEnd w:id="104"/>
    </w:p>
    <w:p w14:paraId="4850047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（一）托管协议的变更程序</w:t>
      </w:r>
    </w:p>
    <w:p w14:paraId="40C95C1F"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本协议双方当事人经协商一致，可以对协议进行修改。修改后的新协议，其内容不得与《基金合同》的规定有任何冲突。</w:t>
      </w:r>
    </w:p>
    <w:p w14:paraId="07DFDEE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（二）托管协议终止的情形</w:t>
      </w:r>
    </w:p>
    <w:p w14:paraId="32768B3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w:t>
      </w:r>
    </w:p>
    <w:p w14:paraId="08C6EA1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2.基金托管人解散、依法被撤销、破产或由其他基金托管人接管基金资产；</w:t>
      </w:r>
    </w:p>
    <w:p w14:paraId="5210120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3.基金管理人解散、依法被撤销、破产或由其他基金管理人接管基金管理权；</w:t>
      </w:r>
    </w:p>
    <w:p w14:paraId="4D9193C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4.发生法律法规或《基金合同》规定的终止事项。</w:t>
      </w:r>
    </w:p>
    <w:p w14:paraId="64DF1A53"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（三）基金财产的清算</w:t>
      </w:r>
    </w:p>
    <w:p w14:paraId="5E01C49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1.基金财产清算小组：自出现《基金合同》终止事由之日起30个工作日内成立清算小组，基金管理人组织基金财产清算小组并在中国证监会的监督下进行基金清算。</w:t>
      </w:r>
    </w:p>
    <w:p w14:paraId="04E0621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2.基金财产清算小组组成：基金财产清算小组成员由基金管理人、基金托管人、符合《证券法》规定的注册会计师、律师以及中国证监会指定的人员组成。基金财产清算小组可以聘用必要的工作人员。</w:t>
      </w:r>
    </w:p>
    <w:p w14:paraId="2F1F3EB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3.基金财产清算小组职责：基金财产清算小组负责基金财产的保管、清理、估价、变现和分配。基金财产清算小组可以依法进行必要的民事活动。</w:t>
      </w:r>
    </w:p>
    <w:p w14:paraId="5CB65EE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4.基金财产清算程序：</w:t>
      </w:r>
    </w:p>
    <w:p w14:paraId="5B62BA8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(1)《基金合同》终止情形出现时，由基金财产清算小组统一接管基金；</w:t>
      </w:r>
    </w:p>
    <w:p w14:paraId="7599956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(2)对基金财产和债权债务进行清理和确认；</w:t>
      </w:r>
    </w:p>
    <w:p w14:paraId="200515D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(3)对基金财产进行估值和变现；</w:t>
      </w:r>
    </w:p>
    <w:p w14:paraId="7E22A96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(4)制作清算报告；</w:t>
      </w:r>
    </w:p>
    <w:p w14:paraId="12C989E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(5)聘请会计师事务所对清算报告进行外部审计，聘请律师事务所对清算报告出具法律意见书；</w:t>
      </w:r>
    </w:p>
    <w:p w14:paraId="58BCCA8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(6)将清算报告报中国证监会备案并公告；</w:t>
      </w:r>
    </w:p>
    <w:p w14:paraId="5DB23B7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(7)对基金剩余财产进行分配。</w:t>
      </w:r>
    </w:p>
    <w:p w14:paraId="19A0145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5.基金财产清算的期限为6个月，但因本基金所持证券的流动性受到限制而不能及时变现的，清算期限相应顺延。</w:t>
      </w:r>
    </w:p>
    <w:p w14:paraId="2D38BB0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6.清算费用</w:t>
      </w:r>
    </w:p>
    <w:p w14:paraId="746BAD3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清算费用是指基金财产清算小组在进行基金清算过程中发生的所有合理费用，清算费用由基金财产清算小组优先从基金财产中支付。</w:t>
      </w:r>
    </w:p>
    <w:p w14:paraId="61E1279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7.基金财产清算剩余资产的分配：</w:t>
      </w:r>
    </w:p>
    <w:p w14:paraId="15B8BB94" w14:textId="56CA401A"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并扣除相应的超额管理费（如涉及）</w:t>
      </w:r>
      <w:r w:rsidR="00E7748F">
        <w:rPr>
          <w:rFonts w:ascii="宋体" w:hAnsi="宋体" w:cs="Arial" w:hint="eastAsia"/>
          <w:sz w:val="24"/>
        </w:rPr>
        <w:t>、</w:t>
      </w:r>
      <w:r w:rsidR="00E7748F" w:rsidRPr="00E7748F">
        <w:rPr>
          <w:rFonts w:ascii="宋体" w:hAnsi="宋体" w:cs="Arial" w:hint="eastAsia"/>
          <w:sz w:val="24"/>
        </w:rPr>
        <w:t>加上返还基金份额持有人的销售服务费（如有）</w:t>
      </w:r>
      <w:r>
        <w:rPr>
          <w:rFonts w:ascii="宋体" w:hAnsi="宋体" w:cs="Arial" w:hint="eastAsia"/>
          <w:sz w:val="24"/>
        </w:rPr>
        <w:t>。</w:t>
      </w:r>
    </w:p>
    <w:p w14:paraId="6B00C99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8.基金财产清算的公告</w:t>
      </w:r>
    </w:p>
    <w:p w14:paraId="1841D7B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lastRenderedPageBreak/>
        <w:t>清算过程中的有关重大事项须及时公告；基金财产清算报告经符合《证券法》规定的会计师事务所审计、并由律师事务所出具法律意见书后，报中国证监会备案并公告。基金财产清算小组应当将清算报告登载在规定网站上，并将清算报告提示性公告登载在规定报刊上。</w:t>
      </w:r>
    </w:p>
    <w:p w14:paraId="30FD035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9.基金财产清算账册及文件的保存</w:t>
      </w:r>
    </w:p>
    <w:p w14:paraId="7576BAA2"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基金财产清算账册及有关文件由基金托管人保存，保存</w:t>
      </w:r>
      <w:r>
        <w:rPr>
          <w:rFonts w:ascii="宋体" w:hAnsi="宋体" w:cs="Arial" w:hint="eastAsia"/>
          <w:bCs/>
          <w:sz w:val="24"/>
        </w:rPr>
        <w:t>期限</w:t>
      </w:r>
      <w:r>
        <w:rPr>
          <w:rFonts w:ascii="宋体" w:hAnsi="宋体" w:cs="Arial" w:hint="eastAsia"/>
          <w:sz w:val="24"/>
        </w:rPr>
        <w:t>不低于法律法规规定的最低期限。</w:t>
      </w:r>
    </w:p>
    <w:p w14:paraId="66E2CD5D" w14:textId="77777777" w:rsidR="00353BD1" w:rsidRDefault="00353BD1">
      <w:pPr>
        <w:adjustRightInd w:val="0"/>
        <w:snapToGrid w:val="0"/>
        <w:spacing w:line="360" w:lineRule="auto"/>
        <w:rPr>
          <w:rFonts w:ascii="宋体" w:hAnsi="宋体" w:cs="Arial"/>
          <w:sz w:val="24"/>
        </w:rPr>
      </w:pPr>
    </w:p>
    <w:p w14:paraId="25ED5402" w14:textId="77777777" w:rsidR="00353BD1" w:rsidRDefault="00064D22">
      <w:pPr>
        <w:pStyle w:val="2"/>
        <w:spacing w:line="360" w:lineRule="auto"/>
        <w:jc w:val="center"/>
        <w:rPr>
          <w:rFonts w:ascii="宋体" w:eastAsia="宋体" w:hAnsi="宋体"/>
          <w:sz w:val="30"/>
        </w:rPr>
      </w:pPr>
      <w:bookmarkStart w:id="105" w:name="_Toc124325901"/>
      <w:r>
        <w:rPr>
          <w:rFonts w:ascii="宋体" w:eastAsia="宋体" w:hAnsi="宋体" w:hint="eastAsia"/>
          <w:sz w:val="30"/>
        </w:rPr>
        <w:t>十七、违约责任</w:t>
      </w:r>
      <w:bookmarkEnd w:id="105"/>
    </w:p>
    <w:p w14:paraId="1CBCA7CC"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（一）基金管理人、基金托管人不履行本协议或履行本协议不符合约定的，应当承担违约责任。</w:t>
      </w:r>
    </w:p>
    <w:p w14:paraId="0C7DF323"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56E537C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之一的，当事人免责：</w:t>
      </w:r>
    </w:p>
    <w:p w14:paraId="329940EE"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1.不可抗力；</w:t>
      </w:r>
    </w:p>
    <w:p w14:paraId="3C5CC56D"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2.基金管理人、基金托管人按照当时有效的法律法规或中国证监会的规定作为或不作为而造成的损失等；</w:t>
      </w:r>
    </w:p>
    <w:p w14:paraId="4E0EADB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3.在没有过错的情况下，基金管理人由于按照《基金合同》规定的投资原则投资或不投资造成的直接损失或潜在损失等；</w:t>
      </w:r>
    </w:p>
    <w:p w14:paraId="242ABAB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sz w:val="24"/>
        </w:rPr>
        <w:t>4</w:t>
      </w:r>
      <w:r>
        <w:rPr>
          <w:rFonts w:ascii="宋体" w:hAnsi="宋体" w:cs="Arial" w:hint="eastAsia"/>
          <w:sz w:val="24"/>
        </w:rPr>
        <w:t>.非因基金管理人、基金托管人的故意或重大过失造成的计算机系统故障、网络故障、通讯故障、电力故障、计算机病毒攻击及其他意外事故所导致的损失等。</w:t>
      </w:r>
    </w:p>
    <w:p w14:paraId="1648EC26"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6982B1A"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lastRenderedPageBreak/>
        <w:t>（五）违约行为虽已发生，但本托管协议能够继续履行的，在最大限度地保护基金份额持有人利益的前提下，基金管理人和基金托管人应当继续履行本协议。</w:t>
      </w:r>
    </w:p>
    <w:p w14:paraId="16BA27E4" w14:textId="77777777" w:rsidR="00353BD1" w:rsidRDefault="00064D22">
      <w:pPr>
        <w:adjustRightInd w:val="0"/>
        <w:snapToGrid w:val="0"/>
        <w:spacing w:line="360" w:lineRule="auto"/>
        <w:ind w:firstLineChars="200" w:firstLine="480"/>
        <w:outlineLvl w:val="0"/>
        <w:rPr>
          <w:rFonts w:ascii="宋体" w:hAnsi="宋体" w:cs="Arial"/>
          <w:sz w:val="24"/>
        </w:rPr>
      </w:pPr>
      <w:r>
        <w:rPr>
          <w:rFonts w:ascii="宋体" w:hAnsi="宋体" w:cs="Arial" w:hint="eastAsia"/>
          <w:sz w:val="24"/>
        </w:rPr>
        <w:t>（六）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减轻或消除由此造成的影响。</w:t>
      </w:r>
    </w:p>
    <w:p w14:paraId="7E990614" w14:textId="77777777" w:rsidR="00353BD1" w:rsidRDefault="00353BD1">
      <w:pPr>
        <w:adjustRightInd w:val="0"/>
        <w:snapToGrid w:val="0"/>
        <w:spacing w:line="360" w:lineRule="auto"/>
        <w:outlineLvl w:val="0"/>
        <w:rPr>
          <w:rFonts w:ascii="宋体" w:hAnsi="宋体" w:cs="Arial"/>
          <w:sz w:val="24"/>
        </w:rPr>
      </w:pPr>
    </w:p>
    <w:p w14:paraId="4F8B2C91" w14:textId="77777777" w:rsidR="00353BD1" w:rsidRDefault="00064D22">
      <w:pPr>
        <w:pStyle w:val="2"/>
        <w:spacing w:line="360" w:lineRule="auto"/>
        <w:jc w:val="center"/>
        <w:rPr>
          <w:rFonts w:ascii="宋体" w:eastAsia="宋体" w:hAnsi="宋体"/>
          <w:sz w:val="30"/>
        </w:rPr>
      </w:pPr>
      <w:bookmarkStart w:id="106" w:name="_Toc124325902"/>
      <w:r>
        <w:rPr>
          <w:rFonts w:ascii="宋体" w:eastAsia="宋体" w:hAnsi="宋体" w:hint="eastAsia"/>
          <w:sz w:val="30"/>
        </w:rPr>
        <w:t>十八、争议解决方式</w:t>
      </w:r>
      <w:bookmarkEnd w:id="106"/>
    </w:p>
    <w:p w14:paraId="2939A7E5" w14:textId="26CF0E0F"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3EAC14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00058668"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本协议受中国法律</w:t>
      </w:r>
      <w:r>
        <w:rPr>
          <w:rFonts w:ascii="等线" w:hAnsi="等线"/>
          <w:bCs/>
          <w:sz w:val="24"/>
        </w:rPr>
        <w:t>（</w:t>
      </w:r>
      <w:r>
        <w:rPr>
          <w:rFonts w:ascii="等线" w:hAnsi="等线" w:hint="eastAsia"/>
          <w:bCs/>
          <w:sz w:val="24"/>
        </w:rPr>
        <w:t>仅为本协议之目的，</w:t>
      </w:r>
      <w:r>
        <w:rPr>
          <w:rFonts w:ascii="等线" w:hAnsi="等线"/>
          <w:bCs/>
          <w:sz w:val="24"/>
        </w:rPr>
        <w:t>不包括香港、澳门特别行政区和台湾地区法律）</w:t>
      </w:r>
      <w:r>
        <w:rPr>
          <w:rFonts w:ascii="宋体" w:hAnsi="宋体" w:cs="Arial" w:hint="eastAsia"/>
          <w:sz w:val="24"/>
        </w:rPr>
        <w:t>管辖。</w:t>
      </w:r>
    </w:p>
    <w:p w14:paraId="6F01ED70" w14:textId="77777777" w:rsidR="00353BD1" w:rsidRDefault="00353BD1">
      <w:pPr>
        <w:adjustRightInd w:val="0"/>
        <w:snapToGrid w:val="0"/>
        <w:spacing w:line="360" w:lineRule="auto"/>
        <w:rPr>
          <w:rFonts w:ascii="宋体" w:hAnsi="宋体" w:cs="Arial"/>
          <w:sz w:val="24"/>
        </w:rPr>
      </w:pPr>
    </w:p>
    <w:p w14:paraId="37FEE198" w14:textId="77777777" w:rsidR="00353BD1" w:rsidRDefault="00064D22">
      <w:pPr>
        <w:pStyle w:val="2"/>
        <w:spacing w:line="360" w:lineRule="auto"/>
        <w:jc w:val="center"/>
        <w:rPr>
          <w:rFonts w:ascii="宋体" w:eastAsia="宋体" w:hAnsi="宋体"/>
          <w:sz w:val="30"/>
        </w:rPr>
      </w:pPr>
      <w:bookmarkStart w:id="107" w:name="_Toc124325903"/>
      <w:r>
        <w:rPr>
          <w:rFonts w:ascii="宋体" w:eastAsia="宋体" w:hAnsi="宋体" w:hint="eastAsia"/>
          <w:sz w:val="30"/>
        </w:rPr>
        <w:t>十九、托管协议的效力</w:t>
      </w:r>
      <w:bookmarkEnd w:id="107"/>
    </w:p>
    <w:p w14:paraId="482147E1"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双方对托管协议的效力约定如下：</w:t>
      </w:r>
    </w:p>
    <w:p w14:paraId="3FCF5D67"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一）基金管理人在向中国证监会申请发售基金份额时提交的托管协议草案，应经托管协议当事人双方加盖公章或合同专业章以及双方法定代表人或授权代表签字（或盖章），协议当事人双方根据中国证监会的意见修改托管协议草案。托管协议以中国证监会备案的文本为正式文本。</w:t>
      </w:r>
    </w:p>
    <w:p w14:paraId="113F0A05"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（二）托管协议自《基金合同》成立之日起成立，自《基金合同》生效之日起生效。托管协议的有效期自其生效之日起至基金财产清算结果报中国证监会备案</w:t>
      </w:r>
      <w:r>
        <w:rPr>
          <w:rFonts w:ascii="宋体" w:hAnsi="宋体" w:cs="Arial" w:hint="eastAsia"/>
          <w:sz w:val="24"/>
        </w:rPr>
        <w:lastRenderedPageBreak/>
        <w:t>并公告之日止。</w:t>
      </w:r>
    </w:p>
    <w:p w14:paraId="3A700DE0"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（三）托管协议自生效之日起对托管协议当事人具有同等的法律约束力。</w:t>
      </w:r>
    </w:p>
    <w:p w14:paraId="77D11CB8" w14:textId="3D386259" w:rsidR="00353BD1" w:rsidRDefault="00064D22">
      <w:pPr>
        <w:adjustRightInd w:val="0"/>
        <w:snapToGrid w:val="0"/>
        <w:spacing w:line="360" w:lineRule="auto"/>
        <w:ind w:firstLineChars="200" w:firstLine="480"/>
        <w:rPr>
          <w:rFonts w:ascii="宋体" w:hAnsi="宋体"/>
          <w:sz w:val="30"/>
          <w:szCs w:val="30"/>
        </w:rPr>
      </w:pPr>
      <w:r>
        <w:rPr>
          <w:rFonts w:ascii="宋体" w:hAnsi="宋体" w:cs="Arial" w:hint="eastAsia"/>
          <w:sz w:val="24"/>
        </w:rPr>
        <w:t>（四）本协议一式</w:t>
      </w:r>
      <w:r w:rsidR="0097355E">
        <w:rPr>
          <w:rFonts w:ascii="宋体" w:hAnsi="宋体" w:cs="Arial" w:hint="eastAsia"/>
          <w:sz w:val="24"/>
        </w:rPr>
        <w:t>三</w:t>
      </w:r>
      <w:r>
        <w:rPr>
          <w:rFonts w:ascii="宋体" w:hAnsi="宋体" w:cs="Arial" w:hint="eastAsia"/>
          <w:sz w:val="24"/>
        </w:rPr>
        <w:t>份，协议双方各持</w:t>
      </w:r>
      <w:r w:rsidR="0097355E">
        <w:rPr>
          <w:rFonts w:ascii="宋体" w:hAnsi="宋体" w:cs="Arial" w:hint="eastAsia"/>
          <w:sz w:val="24"/>
        </w:rPr>
        <w:t>一</w:t>
      </w:r>
      <w:r>
        <w:rPr>
          <w:rFonts w:ascii="宋体" w:hAnsi="宋体" w:cs="Arial" w:hint="eastAsia"/>
          <w:sz w:val="24"/>
        </w:rPr>
        <w:t>份，上报监管机构</w:t>
      </w:r>
      <w:r w:rsidR="0097355E">
        <w:rPr>
          <w:rFonts w:ascii="宋体" w:hAnsi="宋体" w:cs="Arial" w:hint="eastAsia"/>
          <w:sz w:val="24"/>
        </w:rPr>
        <w:t>一</w:t>
      </w:r>
      <w:r>
        <w:rPr>
          <w:rFonts w:ascii="宋体" w:hAnsi="宋体" w:cs="Arial" w:hint="eastAsia"/>
          <w:sz w:val="24"/>
        </w:rPr>
        <w:t>份，每份具有同等的法律效力。</w:t>
      </w:r>
    </w:p>
    <w:p w14:paraId="2C47B096" w14:textId="77777777" w:rsidR="00353BD1" w:rsidRDefault="00353BD1">
      <w:pPr>
        <w:adjustRightInd w:val="0"/>
        <w:snapToGrid w:val="0"/>
        <w:spacing w:line="360" w:lineRule="auto"/>
        <w:rPr>
          <w:rFonts w:ascii="宋体" w:hAnsi="宋体" w:cs="Arial"/>
          <w:sz w:val="24"/>
        </w:rPr>
      </w:pPr>
    </w:p>
    <w:p w14:paraId="554E3A24" w14:textId="77777777" w:rsidR="00353BD1" w:rsidRDefault="00064D22">
      <w:pPr>
        <w:pStyle w:val="2"/>
        <w:spacing w:line="360" w:lineRule="auto"/>
        <w:jc w:val="center"/>
        <w:rPr>
          <w:rFonts w:ascii="宋体" w:eastAsia="宋体" w:hAnsi="宋体"/>
          <w:sz w:val="30"/>
        </w:rPr>
      </w:pPr>
      <w:bookmarkStart w:id="108" w:name="_Toc124325904"/>
      <w:r>
        <w:rPr>
          <w:rFonts w:ascii="宋体" w:eastAsia="宋体" w:hAnsi="宋体" w:hint="eastAsia"/>
          <w:sz w:val="30"/>
        </w:rPr>
        <w:t>二十、其他事项</w:t>
      </w:r>
      <w:bookmarkEnd w:id="108"/>
    </w:p>
    <w:p w14:paraId="35195424"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如发生有权司法机关依法冻结基金份额持有人的基金份额时，基金管理人应予以配合，承担司法协助义务。</w:t>
      </w:r>
    </w:p>
    <w:p w14:paraId="27BDB37C"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除本协议有明确定义外，本协议的用语定义适用《基金合同》的约定。本协议未尽事宜，当事人依据《基金合同》、有关法律法规等规定协商办理。</w:t>
      </w:r>
    </w:p>
    <w:p w14:paraId="339B5DAF" w14:textId="77777777" w:rsidR="00353BD1" w:rsidRDefault="00353BD1">
      <w:pPr>
        <w:adjustRightInd w:val="0"/>
        <w:snapToGrid w:val="0"/>
        <w:spacing w:line="360" w:lineRule="auto"/>
        <w:rPr>
          <w:rFonts w:ascii="宋体" w:hAnsi="宋体"/>
          <w:b/>
          <w:bCs/>
        </w:rPr>
      </w:pPr>
    </w:p>
    <w:p w14:paraId="6A65E0E8" w14:textId="77777777" w:rsidR="00353BD1" w:rsidRDefault="00064D22">
      <w:pPr>
        <w:pStyle w:val="2"/>
        <w:spacing w:line="360" w:lineRule="auto"/>
        <w:jc w:val="center"/>
        <w:rPr>
          <w:rFonts w:ascii="宋体" w:eastAsia="宋体" w:hAnsi="宋体"/>
          <w:sz w:val="30"/>
        </w:rPr>
      </w:pPr>
      <w:bookmarkStart w:id="109" w:name="_Toc124325905"/>
      <w:r>
        <w:rPr>
          <w:rFonts w:ascii="宋体" w:eastAsia="宋体" w:hAnsi="宋体" w:hint="eastAsia"/>
          <w:sz w:val="30"/>
        </w:rPr>
        <w:t>二十一、托管协议的签订</w:t>
      </w:r>
      <w:bookmarkEnd w:id="109"/>
    </w:p>
    <w:p w14:paraId="6172186B" w14:textId="77777777" w:rsidR="00353BD1" w:rsidRDefault="00064D22">
      <w:pPr>
        <w:adjustRightInd w:val="0"/>
        <w:snapToGrid w:val="0"/>
        <w:spacing w:line="360" w:lineRule="auto"/>
        <w:ind w:firstLineChars="200" w:firstLine="480"/>
        <w:rPr>
          <w:rFonts w:ascii="宋体" w:hAnsi="宋体" w:cs="Arial"/>
          <w:sz w:val="24"/>
        </w:rPr>
      </w:pPr>
      <w:r>
        <w:rPr>
          <w:rFonts w:ascii="宋体" w:hAnsi="宋体" w:cs="Arial" w:hint="eastAsia"/>
          <w:sz w:val="24"/>
        </w:rPr>
        <w:t>本协议双方法定代表人或授权代表签字或盖章并加盖双方公章或合同专用章，并列明签订地、签订日。</w:t>
      </w:r>
    </w:p>
    <w:p w14:paraId="391E6161" w14:textId="77777777" w:rsidR="00353BD1" w:rsidRDefault="00353BD1">
      <w:pPr>
        <w:adjustRightInd w:val="0"/>
        <w:snapToGrid w:val="0"/>
        <w:spacing w:line="360" w:lineRule="auto"/>
        <w:ind w:firstLineChars="200" w:firstLine="480"/>
        <w:rPr>
          <w:rFonts w:ascii="宋体" w:hAnsi="宋体" w:cs="Arial"/>
          <w:sz w:val="24"/>
        </w:rPr>
        <w:sectPr w:rsidR="00353BD1">
          <w:headerReference w:type="default" r:id="rId9"/>
          <w:pgSz w:w="11906" w:h="16838"/>
          <w:pgMar w:top="1418" w:right="1701" w:bottom="1418" w:left="1701" w:header="851" w:footer="992" w:gutter="0"/>
          <w:cols w:space="720"/>
          <w:docGrid w:type="lines" w:linePitch="312"/>
        </w:sectPr>
      </w:pPr>
    </w:p>
    <w:p w14:paraId="5D8A8986" w14:textId="15BE9BBE" w:rsidR="00353BD1" w:rsidRDefault="00064D22">
      <w:pPr>
        <w:spacing w:line="360" w:lineRule="auto"/>
        <w:ind w:right="26"/>
        <w:rPr>
          <w:rFonts w:ascii="宋体" w:hAnsi="宋体"/>
          <w:sz w:val="24"/>
        </w:rPr>
      </w:pPr>
      <w:r>
        <w:rPr>
          <w:rFonts w:ascii="宋体" w:hAnsi="宋体" w:hint="eastAsia"/>
          <w:sz w:val="24"/>
        </w:rPr>
        <w:lastRenderedPageBreak/>
        <w:t>本页无正文，为《</w:t>
      </w:r>
      <w:r w:rsidR="00B24F00">
        <w:rPr>
          <w:rFonts w:ascii="宋体" w:hAnsi="宋体" w:hint="eastAsia"/>
          <w:sz w:val="24"/>
        </w:rPr>
        <w:t>广发悦丰多元稳健三个月持有期混合型基金中基金（FOF）</w:t>
      </w:r>
      <w:r>
        <w:rPr>
          <w:rFonts w:ascii="宋体" w:hAnsi="宋体" w:hint="eastAsia"/>
          <w:sz w:val="24"/>
        </w:rPr>
        <w:t>托管协议》的签字盖章页。</w:t>
      </w:r>
    </w:p>
    <w:p w14:paraId="26CAB7DE" w14:textId="77777777" w:rsidR="00353BD1" w:rsidRDefault="00353BD1">
      <w:pPr>
        <w:spacing w:line="360" w:lineRule="auto"/>
        <w:rPr>
          <w:rFonts w:ascii="宋体" w:hAnsi="宋体"/>
          <w:sz w:val="24"/>
        </w:rPr>
      </w:pPr>
    </w:p>
    <w:p w14:paraId="49FC7F7D" w14:textId="77777777" w:rsidR="00353BD1" w:rsidRDefault="00353BD1">
      <w:pPr>
        <w:spacing w:line="360" w:lineRule="auto"/>
        <w:rPr>
          <w:rFonts w:ascii="宋体" w:hAnsi="宋体"/>
          <w:sz w:val="24"/>
        </w:rPr>
      </w:pPr>
    </w:p>
    <w:p w14:paraId="76B3AEF4" w14:textId="77777777" w:rsidR="00353BD1" w:rsidRDefault="00353BD1">
      <w:pPr>
        <w:spacing w:line="360" w:lineRule="auto"/>
        <w:rPr>
          <w:rFonts w:ascii="宋体" w:hAnsi="宋体"/>
          <w:sz w:val="24"/>
        </w:rPr>
      </w:pPr>
    </w:p>
    <w:p w14:paraId="664BD0F5" w14:textId="77777777" w:rsidR="00353BD1" w:rsidRDefault="00064D22">
      <w:pPr>
        <w:spacing w:line="360" w:lineRule="auto"/>
        <w:ind w:right="26"/>
        <w:rPr>
          <w:rFonts w:ascii="宋体" w:hAnsi="宋体"/>
          <w:sz w:val="24"/>
        </w:rPr>
      </w:pPr>
      <w:r>
        <w:rPr>
          <w:rFonts w:ascii="宋体" w:hAnsi="宋体" w:hint="eastAsia"/>
          <w:sz w:val="24"/>
        </w:rPr>
        <w:t>基金管理人：广发基金管理有限公司（盖章）</w:t>
      </w:r>
    </w:p>
    <w:p w14:paraId="059C2CD6" w14:textId="77777777" w:rsidR="00353BD1" w:rsidRDefault="00353BD1">
      <w:pPr>
        <w:spacing w:line="360" w:lineRule="auto"/>
        <w:ind w:right="26"/>
        <w:rPr>
          <w:rFonts w:ascii="宋体" w:hAnsi="宋体"/>
          <w:sz w:val="24"/>
        </w:rPr>
      </w:pPr>
    </w:p>
    <w:p w14:paraId="5370BB73" w14:textId="77777777" w:rsidR="00353BD1" w:rsidRDefault="00353BD1">
      <w:pPr>
        <w:spacing w:line="360" w:lineRule="auto"/>
        <w:ind w:right="26"/>
        <w:rPr>
          <w:rFonts w:ascii="宋体" w:hAnsi="宋体"/>
          <w:sz w:val="24"/>
        </w:rPr>
      </w:pPr>
    </w:p>
    <w:p w14:paraId="26D3FCFA" w14:textId="77777777" w:rsidR="00353BD1" w:rsidRDefault="00353BD1">
      <w:pPr>
        <w:spacing w:line="360" w:lineRule="auto"/>
        <w:ind w:right="26"/>
        <w:rPr>
          <w:rFonts w:ascii="宋体" w:hAnsi="宋体"/>
          <w:sz w:val="24"/>
        </w:rPr>
      </w:pPr>
    </w:p>
    <w:p w14:paraId="2D9CC043" w14:textId="77777777" w:rsidR="00353BD1" w:rsidRDefault="00353BD1">
      <w:pPr>
        <w:spacing w:line="360" w:lineRule="auto"/>
        <w:ind w:right="26"/>
        <w:rPr>
          <w:rFonts w:ascii="宋体" w:hAnsi="宋体"/>
          <w:sz w:val="24"/>
        </w:rPr>
      </w:pPr>
    </w:p>
    <w:p w14:paraId="7188A214" w14:textId="77777777" w:rsidR="00353BD1" w:rsidRDefault="00064D22">
      <w:pPr>
        <w:spacing w:line="360" w:lineRule="auto"/>
        <w:ind w:right="26"/>
        <w:rPr>
          <w:rFonts w:ascii="宋体" w:hAnsi="宋体"/>
          <w:sz w:val="24"/>
        </w:rPr>
      </w:pPr>
      <w:r>
        <w:rPr>
          <w:rFonts w:ascii="宋体" w:hAnsi="宋体" w:hint="eastAsia"/>
          <w:sz w:val="24"/>
        </w:rPr>
        <w:t xml:space="preserve">法定代表人或授权代表：                   </w:t>
      </w:r>
    </w:p>
    <w:p w14:paraId="21BECE02" w14:textId="77777777" w:rsidR="00353BD1" w:rsidRDefault="00353BD1">
      <w:pPr>
        <w:spacing w:line="360" w:lineRule="auto"/>
        <w:ind w:right="26"/>
        <w:rPr>
          <w:rFonts w:ascii="宋体" w:hAnsi="宋体"/>
          <w:sz w:val="24"/>
        </w:rPr>
      </w:pPr>
    </w:p>
    <w:p w14:paraId="2FF1D634" w14:textId="77777777" w:rsidR="00353BD1" w:rsidRDefault="00353BD1">
      <w:pPr>
        <w:spacing w:line="360" w:lineRule="auto"/>
        <w:ind w:right="26"/>
        <w:rPr>
          <w:rFonts w:ascii="宋体" w:hAnsi="宋体"/>
          <w:sz w:val="24"/>
        </w:rPr>
      </w:pPr>
    </w:p>
    <w:p w14:paraId="6BB35A8F" w14:textId="77777777" w:rsidR="00353BD1" w:rsidRDefault="00353BD1">
      <w:pPr>
        <w:spacing w:line="360" w:lineRule="auto"/>
        <w:ind w:right="26"/>
        <w:rPr>
          <w:rFonts w:ascii="宋体" w:hAnsi="宋体"/>
          <w:sz w:val="24"/>
        </w:rPr>
      </w:pPr>
    </w:p>
    <w:p w14:paraId="5AA61FB3" w14:textId="77777777" w:rsidR="00353BD1" w:rsidRDefault="00353BD1">
      <w:pPr>
        <w:spacing w:line="360" w:lineRule="auto"/>
        <w:ind w:right="26"/>
        <w:rPr>
          <w:rFonts w:ascii="宋体" w:hAnsi="宋体"/>
          <w:sz w:val="24"/>
        </w:rPr>
      </w:pPr>
    </w:p>
    <w:p w14:paraId="321B0AB1" w14:textId="77777777" w:rsidR="00353BD1" w:rsidRDefault="00353BD1">
      <w:pPr>
        <w:spacing w:line="360" w:lineRule="auto"/>
        <w:ind w:right="26"/>
        <w:rPr>
          <w:rFonts w:ascii="宋体" w:hAnsi="宋体"/>
          <w:sz w:val="24"/>
        </w:rPr>
      </w:pPr>
    </w:p>
    <w:p w14:paraId="5275FB05" w14:textId="77777777" w:rsidR="00353BD1" w:rsidRDefault="00064D22">
      <w:pPr>
        <w:spacing w:line="360" w:lineRule="auto"/>
        <w:ind w:right="26"/>
        <w:rPr>
          <w:rFonts w:ascii="宋体" w:hAnsi="宋体"/>
          <w:sz w:val="24"/>
        </w:rPr>
      </w:pPr>
      <w:r>
        <w:rPr>
          <w:rFonts w:ascii="宋体" w:hAnsi="宋体" w:hint="eastAsia"/>
          <w:sz w:val="24"/>
        </w:rPr>
        <w:t>基金托管人：中国建设银行股份有限公司（盖章）</w:t>
      </w:r>
    </w:p>
    <w:p w14:paraId="132BDD0A" w14:textId="77777777" w:rsidR="00353BD1" w:rsidRDefault="00353BD1">
      <w:pPr>
        <w:spacing w:line="360" w:lineRule="auto"/>
        <w:ind w:right="26"/>
        <w:rPr>
          <w:rFonts w:ascii="宋体" w:hAnsi="宋体"/>
          <w:sz w:val="24"/>
        </w:rPr>
      </w:pPr>
    </w:p>
    <w:p w14:paraId="14CB8388" w14:textId="77777777" w:rsidR="00353BD1" w:rsidRDefault="00353BD1">
      <w:pPr>
        <w:spacing w:line="360" w:lineRule="auto"/>
        <w:ind w:right="26"/>
        <w:rPr>
          <w:rFonts w:ascii="宋体" w:hAnsi="宋体"/>
          <w:sz w:val="24"/>
        </w:rPr>
      </w:pPr>
    </w:p>
    <w:p w14:paraId="5E81A30A" w14:textId="77777777" w:rsidR="00353BD1" w:rsidRDefault="00353BD1">
      <w:pPr>
        <w:spacing w:line="360" w:lineRule="auto"/>
        <w:ind w:right="26"/>
        <w:rPr>
          <w:rFonts w:ascii="宋体" w:hAnsi="宋体"/>
          <w:sz w:val="24"/>
        </w:rPr>
      </w:pPr>
    </w:p>
    <w:p w14:paraId="2E589E09" w14:textId="77777777" w:rsidR="00353BD1" w:rsidRDefault="00353BD1">
      <w:pPr>
        <w:spacing w:line="360" w:lineRule="auto"/>
        <w:ind w:right="26"/>
        <w:rPr>
          <w:rFonts w:ascii="宋体" w:hAnsi="宋体"/>
          <w:sz w:val="24"/>
        </w:rPr>
      </w:pPr>
    </w:p>
    <w:p w14:paraId="18B38C39" w14:textId="77777777" w:rsidR="00353BD1" w:rsidRDefault="00064D22">
      <w:pPr>
        <w:spacing w:line="360" w:lineRule="auto"/>
        <w:ind w:right="26"/>
        <w:rPr>
          <w:rFonts w:ascii="宋体" w:hAnsi="宋体"/>
          <w:sz w:val="24"/>
        </w:rPr>
      </w:pPr>
      <w:r>
        <w:rPr>
          <w:rFonts w:ascii="宋体" w:hAnsi="宋体" w:hint="eastAsia"/>
          <w:sz w:val="24"/>
        </w:rPr>
        <w:t xml:space="preserve">法定代表人或授权代表：                   </w:t>
      </w:r>
    </w:p>
    <w:p w14:paraId="3B172F17" w14:textId="77777777" w:rsidR="00353BD1" w:rsidRDefault="00353BD1">
      <w:pPr>
        <w:spacing w:line="360" w:lineRule="auto"/>
        <w:ind w:right="26"/>
        <w:rPr>
          <w:rFonts w:ascii="宋体" w:hAnsi="宋体"/>
          <w:b/>
          <w:sz w:val="24"/>
          <w:szCs w:val="28"/>
        </w:rPr>
      </w:pPr>
    </w:p>
    <w:p w14:paraId="03764AAB" w14:textId="77777777" w:rsidR="00353BD1" w:rsidRDefault="00353BD1">
      <w:pPr>
        <w:spacing w:line="360" w:lineRule="auto"/>
        <w:ind w:right="26"/>
        <w:rPr>
          <w:rFonts w:ascii="宋体" w:hAnsi="宋体"/>
          <w:b/>
          <w:sz w:val="24"/>
          <w:szCs w:val="28"/>
        </w:rPr>
      </w:pPr>
    </w:p>
    <w:p w14:paraId="6C1B3645" w14:textId="77777777" w:rsidR="00353BD1" w:rsidRDefault="00353BD1">
      <w:pPr>
        <w:spacing w:line="360" w:lineRule="auto"/>
        <w:ind w:right="26"/>
        <w:rPr>
          <w:rFonts w:ascii="宋体" w:hAnsi="宋体"/>
          <w:b/>
          <w:sz w:val="24"/>
          <w:szCs w:val="28"/>
        </w:rPr>
      </w:pPr>
    </w:p>
    <w:p w14:paraId="6AFDDF16" w14:textId="77777777" w:rsidR="00353BD1" w:rsidRDefault="00064D22">
      <w:pPr>
        <w:spacing w:line="360" w:lineRule="auto"/>
        <w:ind w:right="26"/>
        <w:rPr>
          <w:rFonts w:ascii="宋体" w:hAnsi="宋体"/>
          <w:b/>
          <w:sz w:val="24"/>
          <w:szCs w:val="28"/>
        </w:rPr>
      </w:pPr>
      <w:r>
        <w:rPr>
          <w:rFonts w:ascii="宋体" w:hAnsi="宋体" w:hint="eastAsia"/>
          <w:b/>
          <w:sz w:val="24"/>
          <w:szCs w:val="28"/>
        </w:rPr>
        <w:t>签订地点：北京</w:t>
      </w:r>
    </w:p>
    <w:p w14:paraId="28645018" w14:textId="77777777" w:rsidR="00353BD1" w:rsidRDefault="00064D22">
      <w:pPr>
        <w:spacing w:line="360" w:lineRule="auto"/>
        <w:ind w:right="26"/>
        <w:rPr>
          <w:rFonts w:ascii="宋体" w:hAnsi="宋体"/>
          <w:b/>
          <w:sz w:val="24"/>
          <w:szCs w:val="28"/>
        </w:rPr>
      </w:pPr>
      <w:r>
        <w:rPr>
          <w:rFonts w:ascii="宋体" w:hAnsi="宋体" w:hint="eastAsia"/>
          <w:b/>
          <w:sz w:val="24"/>
          <w:szCs w:val="28"/>
        </w:rPr>
        <w:t>签 订 日：二零二</w:t>
      </w:r>
      <w:r>
        <w:rPr>
          <w:rFonts w:ascii="宋体" w:hAnsi="宋体" w:cs="宋体" w:hint="eastAsia"/>
          <w:b/>
          <w:sz w:val="24"/>
          <w:szCs w:val="28"/>
        </w:rPr>
        <w:t xml:space="preserve">  </w:t>
      </w:r>
      <w:r>
        <w:rPr>
          <w:rFonts w:ascii="宋体" w:hAnsi="宋体" w:hint="eastAsia"/>
          <w:b/>
          <w:sz w:val="24"/>
          <w:szCs w:val="28"/>
        </w:rPr>
        <w:t>年</w:t>
      </w:r>
      <w:r>
        <w:rPr>
          <w:rFonts w:ascii="宋体" w:hAnsi="宋体" w:cs="宋体" w:hint="eastAsia"/>
          <w:b/>
          <w:sz w:val="24"/>
          <w:szCs w:val="28"/>
        </w:rPr>
        <w:t xml:space="preserve">   </w:t>
      </w:r>
      <w:r>
        <w:rPr>
          <w:rFonts w:ascii="宋体" w:hAnsi="宋体" w:hint="eastAsia"/>
          <w:b/>
          <w:sz w:val="24"/>
          <w:szCs w:val="28"/>
        </w:rPr>
        <w:t>月</w:t>
      </w:r>
      <w:r>
        <w:rPr>
          <w:rFonts w:ascii="宋体" w:hAnsi="宋体" w:cs="宋体" w:hint="eastAsia"/>
          <w:b/>
          <w:sz w:val="24"/>
          <w:szCs w:val="28"/>
        </w:rPr>
        <w:t xml:space="preserve">   </w:t>
      </w:r>
      <w:r>
        <w:rPr>
          <w:rFonts w:ascii="宋体" w:hAnsi="宋体" w:hint="eastAsia"/>
          <w:b/>
          <w:sz w:val="24"/>
          <w:szCs w:val="28"/>
        </w:rPr>
        <w:t>日</w:t>
      </w:r>
    </w:p>
    <w:p w14:paraId="2B61815C" w14:textId="77777777" w:rsidR="00353BD1" w:rsidRDefault="00353BD1">
      <w:pPr>
        <w:adjustRightInd w:val="0"/>
        <w:snapToGrid w:val="0"/>
        <w:spacing w:line="360" w:lineRule="auto"/>
        <w:rPr>
          <w:rFonts w:ascii="宋体" w:hAnsi="宋体" w:cs="Arial"/>
          <w:sz w:val="24"/>
        </w:rPr>
      </w:pPr>
    </w:p>
    <w:p w14:paraId="56AC7BB0" w14:textId="77777777" w:rsidR="00353BD1" w:rsidRDefault="00353BD1">
      <w:pPr>
        <w:spacing w:line="360" w:lineRule="auto"/>
        <w:rPr>
          <w:rFonts w:ascii="宋体" w:hAnsi="宋体"/>
        </w:rPr>
      </w:pPr>
    </w:p>
    <w:sectPr w:rsidR="00353BD1">
      <w:headerReference w:type="default" r:id="rId10"/>
      <w:footerReference w:type="default" r:id="rId11"/>
      <w:pgSz w:w="11906" w:h="16838"/>
      <w:pgMar w:top="1418" w:right="1701" w:bottom="1418"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A200F" w14:textId="77777777" w:rsidR="00820EF1" w:rsidRDefault="00820EF1">
      <w:r>
        <w:separator/>
      </w:r>
    </w:p>
  </w:endnote>
  <w:endnote w:type="continuationSeparator" w:id="0">
    <w:p w14:paraId="4BDC6B43" w14:textId="77777777" w:rsidR="00820EF1" w:rsidRDefault="0082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Microsoft YaHei UI"/>
    <w:panose1 w:val="02000000000000000000"/>
    <w:charset w:val="86"/>
    <w:family w:val="auto"/>
    <w:pitch w:val="variable"/>
    <w:sig w:usb0="A00002BF" w:usb1="184F6CFA" w:usb2="00000012"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1338F" w14:textId="77777777" w:rsidR="00504CFE" w:rsidRDefault="00504CFE">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42</w:t>
    </w:r>
    <w:r>
      <w:rPr>
        <w:rStyle w:val="af"/>
      </w:rPr>
      <w:fldChar w:fldCharType="end"/>
    </w:r>
  </w:p>
  <w:p w14:paraId="5813DE86" w14:textId="77777777" w:rsidR="00504CFE" w:rsidRDefault="00504CF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432C" w14:textId="0ACD7E35" w:rsidR="00504CFE" w:rsidRDefault="00504CFE">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FC5F7A">
      <w:rPr>
        <w:rStyle w:val="af"/>
        <w:noProof/>
      </w:rPr>
      <w:t>43</w:t>
    </w:r>
    <w:r>
      <w:rPr>
        <w:rStyle w:val="af"/>
      </w:rPr>
      <w:fldChar w:fldCharType="end"/>
    </w:r>
  </w:p>
  <w:p w14:paraId="0BAACE4C" w14:textId="77777777" w:rsidR="00504CFE" w:rsidRDefault="00504CF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0A8F7" w14:textId="77777777" w:rsidR="00504CFE" w:rsidRDefault="00504C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731A3" w14:textId="77777777" w:rsidR="00820EF1" w:rsidRDefault="00820EF1">
      <w:r>
        <w:separator/>
      </w:r>
    </w:p>
  </w:footnote>
  <w:footnote w:type="continuationSeparator" w:id="0">
    <w:p w14:paraId="1505F8D9" w14:textId="77777777" w:rsidR="00820EF1" w:rsidRDefault="0082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E25D6" w14:textId="4C697B20" w:rsidR="00504CFE" w:rsidRDefault="00504CFE">
    <w:pPr>
      <w:pStyle w:val="aa"/>
      <w:jc w:val="right"/>
    </w:pP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C7D25" w14:textId="05A54FD3" w:rsidR="00504CFE" w:rsidRDefault="00504CFE">
    <w:pPr>
      <w:pStyle w:val="aa"/>
      <w:jc w:val="right"/>
    </w:pPr>
    <w:r>
      <w:rPr>
        <w:rFonts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7F"/>
    <w:rsid w:val="000024F9"/>
    <w:rsid w:val="00025EBB"/>
    <w:rsid w:val="000303E0"/>
    <w:rsid w:val="00032CD8"/>
    <w:rsid w:val="00033697"/>
    <w:rsid w:val="00040F5C"/>
    <w:rsid w:val="00043538"/>
    <w:rsid w:val="00043771"/>
    <w:rsid w:val="00052DD1"/>
    <w:rsid w:val="00055B8E"/>
    <w:rsid w:val="00064D22"/>
    <w:rsid w:val="000662BB"/>
    <w:rsid w:val="000734C2"/>
    <w:rsid w:val="00082239"/>
    <w:rsid w:val="000836E4"/>
    <w:rsid w:val="000841AB"/>
    <w:rsid w:val="00085734"/>
    <w:rsid w:val="0009125B"/>
    <w:rsid w:val="00092B02"/>
    <w:rsid w:val="00092D0E"/>
    <w:rsid w:val="000A0BA6"/>
    <w:rsid w:val="000A0DC9"/>
    <w:rsid w:val="000A43AD"/>
    <w:rsid w:val="000A5C1E"/>
    <w:rsid w:val="000A6320"/>
    <w:rsid w:val="000A6C25"/>
    <w:rsid w:val="000A7B1C"/>
    <w:rsid w:val="000B2CE6"/>
    <w:rsid w:val="000B6015"/>
    <w:rsid w:val="000B6BF5"/>
    <w:rsid w:val="000C0991"/>
    <w:rsid w:val="000C1DB4"/>
    <w:rsid w:val="000C49CA"/>
    <w:rsid w:val="000C5E11"/>
    <w:rsid w:val="000D4B45"/>
    <w:rsid w:val="000E66F0"/>
    <w:rsid w:val="000E6C5D"/>
    <w:rsid w:val="000F0982"/>
    <w:rsid w:val="000F5ED3"/>
    <w:rsid w:val="00100B98"/>
    <w:rsid w:val="0010767C"/>
    <w:rsid w:val="001115B3"/>
    <w:rsid w:val="001125C9"/>
    <w:rsid w:val="00132C6D"/>
    <w:rsid w:val="00135594"/>
    <w:rsid w:val="0014099C"/>
    <w:rsid w:val="0015074B"/>
    <w:rsid w:val="00181807"/>
    <w:rsid w:val="00184EA2"/>
    <w:rsid w:val="0018537F"/>
    <w:rsid w:val="001940A0"/>
    <w:rsid w:val="00197230"/>
    <w:rsid w:val="001A3B29"/>
    <w:rsid w:val="001A49E4"/>
    <w:rsid w:val="001A7972"/>
    <w:rsid w:val="001C05A5"/>
    <w:rsid w:val="001C4EBE"/>
    <w:rsid w:val="001C7D61"/>
    <w:rsid w:val="001D76FC"/>
    <w:rsid w:val="001F0793"/>
    <w:rsid w:val="001F1F49"/>
    <w:rsid w:val="002003A2"/>
    <w:rsid w:val="002034B0"/>
    <w:rsid w:val="00212970"/>
    <w:rsid w:val="0021532C"/>
    <w:rsid w:val="002173F8"/>
    <w:rsid w:val="00220A25"/>
    <w:rsid w:val="00227208"/>
    <w:rsid w:val="00230FA1"/>
    <w:rsid w:val="00232A1C"/>
    <w:rsid w:val="0023449A"/>
    <w:rsid w:val="002358C1"/>
    <w:rsid w:val="002437C0"/>
    <w:rsid w:val="00251A06"/>
    <w:rsid w:val="002641D1"/>
    <w:rsid w:val="002675F3"/>
    <w:rsid w:val="002733AC"/>
    <w:rsid w:val="00273960"/>
    <w:rsid w:val="00274EA9"/>
    <w:rsid w:val="0028148E"/>
    <w:rsid w:val="002825A4"/>
    <w:rsid w:val="0028293D"/>
    <w:rsid w:val="0029641F"/>
    <w:rsid w:val="002A0A0C"/>
    <w:rsid w:val="002A3F27"/>
    <w:rsid w:val="002B1089"/>
    <w:rsid w:val="002B4247"/>
    <w:rsid w:val="002B5BE9"/>
    <w:rsid w:val="002C0D68"/>
    <w:rsid w:val="002C49A9"/>
    <w:rsid w:val="002D5DBF"/>
    <w:rsid w:val="002D640A"/>
    <w:rsid w:val="002F5953"/>
    <w:rsid w:val="00303FBE"/>
    <w:rsid w:val="00310507"/>
    <w:rsid w:val="00312D29"/>
    <w:rsid w:val="003164E9"/>
    <w:rsid w:val="00320784"/>
    <w:rsid w:val="00325859"/>
    <w:rsid w:val="003405AD"/>
    <w:rsid w:val="00353BD1"/>
    <w:rsid w:val="00361048"/>
    <w:rsid w:val="003611B9"/>
    <w:rsid w:val="003626E4"/>
    <w:rsid w:val="00363BA7"/>
    <w:rsid w:val="0037368E"/>
    <w:rsid w:val="003751D1"/>
    <w:rsid w:val="00383FBF"/>
    <w:rsid w:val="0039110D"/>
    <w:rsid w:val="003946DD"/>
    <w:rsid w:val="003A4EEC"/>
    <w:rsid w:val="003B1C14"/>
    <w:rsid w:val="003B46F9"/>
    <w:rsid w:val="003B53AF"/>
    <w:rsid w:val="003B7E82"/>
    <w:rsid w:val="003D04DC"/>
    <w:rsid w:val="003D0AA9"/>
    <w:rsid w:val="003D2A48"/>
    <w:rsid w:val="003E1E8E"/>
    <w:rsid w:val="003F0D6B"/>
    <w:rsid w:val="003F693D"/>
    <w:rsid w:val="00401831"/>
    <w:rsid w:val="004045F9"/>
    <w:rsid w:val="004070BF"/>
    <w:rsid w:val="004103A2"/>
    <w:rsid w:val="00412734"/>
    <w:rsid w:val="00415F65"/>
    <w:rsid w:val="00423327"/>
    <w:rsid w:val="00433C78"/>
    <w:rsid w:val="0043423D"/>
    <w:rsid w:val="004404ED"/>
    <w:rsid w:val="00450BD6"/>
    <w:rsid w:val="00450C4F"/>
    <w:rsid w:val="004569BE"/>
    <w:rsid w:val="004606C9"/>
    <w:rsid w:val="00465034"/>
    <w:rsid w:val="0046683C"/>
    <w:rsid w:val="004675E8"/>
    <w:rsid w:val="00470D80"/>
    <w:rsid w:val="00472D5F"/>
    <w:rsid w:val="0047762F"/>
    <w:rsid w:val="004820FE"/>
    <w:rsid w:val="00496B2D"/>
    <w:rsid w:val="004A1E71"/>
    <w:rsid w:val="004A2465"/>
    <w:rsid w:val="004A6368"/>
    <w:rsid w:val="004B3796"/>
    <w:rsid w:val="004C1330"/>
    <w:rsid w:val="004C19B4"/>
    <w:rsid w:val="004C1CF8"/>
    <w:rsid w:val="004D20B1"/>
    <w:rsid w:val="004D576D"/>
    <w:rsid w:val="004E101D"/>
    <w:rsid w:val="004E25EB"/>
    <w:rsid w:val="004E52EF"/>
    <w:rsid w:val="004E6F8A"/>
    <w:rsid w:val="004F00FC"/>
    <w:rsid w:val="0050027A"/>
    <w:rsid w:val="00501CF4"/>
    <w:rsid w:val="00504CFE"/>
    <w:rsid w:val="005050A3"/>
    <w:rsid w:val="005050BE"/>
    <w:rsid w:val="0050594B"/>
    <w:rsid w:val="00510EBA"/>
    <w:rsid w:val="00513DBB"/>
    <w:rsid w:val="00516A97"/>
    <w:rsid w:val="00532E2A"/>
    <w:rsid w:val="00542BD6"/>
    <w:rsid w:val="0054440A"/>
    <w:rsid w:val="005500B0"/>
    <w:rsid w:val="00550CB1"/>
    <w:rsid w:val="005540E2"/>
    <w:rsid w:val="00555A88"/>
    <w:rsid w:val="005761B3"/>
    <w:rsid w:val="00577398"/>
    <w:rsid w:val="00580061"/>
    <w:rsid w:val="00587EF7"/>
    <w:rsid w:val="00591D00"/>
    <w:rsid w:val="00591EB4"/>
    <w:rsid w:val="00593605"/>
    <w:rsid w:val="0059405A"/>
    <w:rsid w:val="005A2446"/>
    <w:rsid w:val="005B7AA2"/>
    <w:rsid w:val="005C606F"/>
    <w:rsid w:val="005D129B"/>
    <w:rsid w:val="005D1CF0"/>
    <w:rsid w:val="005D2018"/>
    <w:rsid w:val="005D50A8"/>
    <w:rsid w:val="005D6A9F"/>
    <w:rsid w:val="005D71F6"/>
    <w:rsid w:val="005E17DA"/>
    <w:rsid w:val="005E33FE"/>
    <w:rsid w:val="005E654C"/>
    <w:rsid w:val="005E7D65"/>
    <w:rsid w:val="005F1CE9"/>
    <w:rsid w:val="005F3147"/>
    <w:rsid w:val="005F3A20"/>
    <w:rsid w:val="005F4C60"/>
    <w:rsid w:val="0060300C"/>
    <w:rsid w:val="006126F0"/>
    <w:rsid w:val="00614F24"/>
    <w:rsid w:val="00616CEF"/>
    <w:rsid w:val="0062027C"/>
    <w:rsid w:val="006246F3"/>
    <w:rsid w:val="00626EC3"/>
    <w:rsid w:val="00634F7C"/>
    <w:rsid w:val="0063571B"/>
    <w:rsid w:val="006358B1"/>
    <w:rsid w:val="006414B2"/>
    <w:rsid w:val="00642A8A"/>
    <w:rsid w:val="00645894"/>
    <w:rsid w:val="00645DC7"/>
    <w:rsid w:val="0064709B"/>
    <w:rsid w:val="00654841"/>
    <w:rsid w:val="0065627F"/>
    <w:rsid w:val="006567C9"/>
    <w:rsid w:val="0066056F"/>
    <w:rsid w:val="00661CA3"/>
    <w:rsid w:val="006753D7"/>
    <w:rsid w:val="00676E2E"/>
    <w:rsid w:val="0068629F"/>
    <w:rsid w:val="006873D5"/>
    <w:rsid w:val="00687CD1"/>
    <w:rsid w:val="00691732"/>
    <w:rsid w:val="006A5F59"/>
    <w:rsid w:val="006B13D5"/>
    <w:rsid w:val="006B4273"/>
    <w:rsid w:val="006B5C7C"/>
    <w:rsid w:val="006C3354"/>
    <w:rsid w:val="006D0EA5"/>
    <w:rsid w:val="006D4447"/>
    <w:rsid w:val="006E5EFC"/>
    <w:rsid w:val="006E6C04"/>
    <w:rsid w:val="006E7C25"/>
    <w:rsid w:val="006F779C"/>
    <w:rsid w:val="00703887"/>
    <w:rsid w:val="00707279"/>
    <w:rsid w:val="00710218"/>
    <w:rsid w:val="0072261C"/>
    <w:rsid w:val="00726310"/>
    <w:rsid w:val="00734FDC"/>
    <w:rsid w:val="0073607B"/>
    <w:rsid w:val="0074065C"/>
    <w:rsid w:val="00743F23"/>
    <w:rsid w:val="0075591A"/>
    <w:rsid w:val="00755C13"/>
    <w:rsid w:val="00761D51"/>
    <w:rsid w:val="00765ED3"/>
    <w:rsid w:val="007667E8"/>
    <w:rsid w:val="007721C3"/>
    <w:rsid w:val="00774793"/>
    <w:rsid w:val="007748AD"/>
    <w:rsid w:val="00775F3A"/>
    <w:rsid w:val="0078544F"/>
    <w:rsid w:val="00787B9A"/>
    <w:rsid w:val="00790D2C"/>
    <w:rsid w:val="00795194"/>
    <w:rsid w:val="00796D6A"/>
    <w:rsid w:val="007A08D0"/>
    <w:rsid w:val="007A5C83"/>
    <w:rsid w:val="007B1479"/>
    <w:rsid w:val="007B3D53"/>
    <w:rsid w:val="007C268E"/>
    <w:rsid w:val="007D6157"/>
    <w:rsid w:val="007E23D0"/>
    <w:rsid w:val="007F3D68"/>
    <w:rsid w:val="007F619B"/>
    <w:rsid w:val="007F62F9"/>
    <w:rsid w:val="00802B04"/>
    <w:rsid w:val="008036C9"/>
    <w:rsid w:val="0080732A"/>
    <w:rsid w:val="008121F7"/>
    <w:rsid w:val="00814A7F"/>
    <w:rsid w:val="00816B6A"/>
    <w:rsid w:val="00820193"/>
    <w:rsid w:val="00820591"/>
    <w:rsid w:val="00820EF1"/>
    <w:rsid w:val="008236A5"/>
    <w:rsid w:val="0083046C"/>
    <w:rsid w:val="008346A1"/>
    <w:rsid w:val="008350E5"/>
    <w:rsid w:val="00837402"/>
    <w:rsid w:val="0084553F"/>
    <w:rsid w:val="0084614A"/>
    <w:rsid w:val="00847DD3"/>
    <w:rsid w:val="00850426"/>
    <w:rsid w:val="00852205"/>
    <w:rsid w:val="00853C57"/>
    <w:rsid w:val="008547B4"/>
    <w:rsid w:val="0085689A"/>
    <w:rsid w:val="008675B8"/>
    <w:rsid w:val="0087125E"/>
    <w:rsid w:val="00872089"/>
    <w:rsid w:val="00875BA4"/>
    <w:rsid w:val="008830A6"/>
    <w:rsid w:val="008A1CEC"/>
    <w:rsid w:val="008B112F"/>
    <w:rsid w:val="008C0954"/>
    <w:rsid w:val="008C0AC9"/>
    <w:rsid w:val="008C288B"/>
    <w:rsid w:val="008C53D3"/>
    <w:rsid w:val="008C7FD0"/>
    <w:rsid w:val="008E0BAD"/>
    <w:rsid w:val="008E2099"/>
    <w:rsid w:val="008F08D7"/>
    <w:rsid w:val="008F23A8"/>
    <w:rsid w:val="0090389A"/>
    <w:rsid w:val="00906B21"/>
    <w:rsid w:val="00912F8C"/>
    <w:rsid w:val="0091304D"/>
    <w:rsid w:val="009157E0"/>
    <w:rsid w:val="0091596D"/>
    <w:rsid w:val="009204E9"/>
    <w:rsid w:val="00927782"/>
    <w:rsid w:val="00934AF7"/>
    <w:rsid w:val="00935217"/>
    <w:rsid w:val="0093578F"/>
    <w:rsid w:val="00940507"/>
    <w:rsid w:val="009428F5"/>
    <w:rsid w:val="00953FA5"/>
    <w:rsid w:val="009614FA"/>
    <w:rsid w:val="0097355E"/>
    <w:rsid w:val="00976406"/>
    <w:rsid w:val="009768C4"/>
    <w:rsid w:val="00981311"/>
    <w:rsid w:val="00984D18"/>
    <w:rsid w:val="00991CCD"/>
    <w:rsid w:val="009A0D80"/>
    <w:rsid w:val="009A47DD"/>
    <w:rsid w:val="009A607B"/>
    <w:rsid w:val="009B16A7"/>
    <w:rsid w:val="009C12A1"/>
    <w:rsid w:val="009C6E25"/>
    <w:rsid w:val="009C797C"/>
    <w:rsid w:val="009D1ECE"/>
    <w:rsid w:val="009D60E2"/>
    <w:rsid w:val="009D76C4"/>
    <w:rsid w:val="009E2CC7"/>
    <w:rsid w:val="009E3C07"/>
    <w:rsid w:val="009E4A32"/>
    <w:rsid w:val="009F0186"/>
    <w:rsid w:val="009F2F01"/>
    <w:rsid w:val="009F3179"/>
    <w:rsid w:val="009F384A"/>
    <w:rsid w:val="009F59DC"/>
    <w:rsid w:val="00A018D7"/>
    <w:rsid w:val="00A02B86"/>
    <w:rsid w:val="00A123EA"/>
    <w:rsid w:val="00A15A53"/>
    <w:rsid w:val="00A177E3"/>
    <w:rsid w:val="00A21157"/>
    <w:rsid w:val="00A2272D"/>
    <w:rsid w:val="00A248AF"/>
    <w:rsid w:val="00A24D34"/>
    <w:rsid w:val="00A24F7D"/>
    <w:rsid w:val="00A252B9"/>
    <w:rsid w:val="00A262F2"/>
    <w:rsid w:val="00A32818"/>
    <w:rsid w:val="00A36003"/>
    <w:rsid w:val="00A44E96"/>
    <w:rsid w:val="00A510C1"/>
    <w:rsid w:val="00A5390A"/>
    <w:rsid w:val="00A6029A"/>
    <w:rsid w:val="00A606FD"/>
    <w:rsid w:val="00A72217"/>
    <w:rsid w:val="00A7255A"/>
    <w:rsid w:val="00A74063"/>
    <w:rsid w:val="00A74228"/>
    <w:rsid w:val="00A82D35"/>
    <w:rsid w:val="00A83C38"/>
    <w:rsid w:val="00A843F4"/>
    <w:rsid w:val="00A8441F"/>
    <w:rsid w:val="00A875F7"/>
    <w:rsid w:val="00A9216D"/>
    <w:rsid w:val="00A936A1"/>
    <w:rsid w:val="00A965E8"/>
    <w:rsid w:val="00A976C3"/>
    <w:rsid w:val="00AA4F9E"/>
    <w:rsid w:val="00AB1BE8"/>
    <w:rsid w:val="00AB22F2"/>
    <w:rsid w:val="00AB23A9"/>
    <w:rsid w:val="00AB29B7"/>
    <w:rsid w:val="00AC2F84"/>
    <w:rsid w:val="00AD1C13"/>
    <w:rsid w:val="00AD21CA"/>
    <w:rsid w:val="00AF1A48"/>
    <w:rsid w:val="00AF30A3"/>
    <w:rsid w:val="00AF3F5A"/>
    <w:rsid w:val="00AF40D0"/>
    <w:rsid w:val="00AF56E4"/>
    <w:rsid w:val="00B069F6"/>
    <w:rsid w:val="00B14F0A"/>
    <w:rsid w:val="00B23F38"/>
    <w:rsid w:val="00B2400F"/>
    <w:rsid w:val="00B24F00"/>
    <w:rsid w:val="00B34E98"/>
    <w:rsid w:val="00B34FD6"/>
    <w:rsid w:val="00B35225"/>
    <w:rsid w:val="00B420FA"/>
    <w:rsid w:val="00B51686"/>
    <w:rsid w:val="00B52A7B"/>
    <w:rsid w:val="00B53BDB"/>
    <w:rsid w:val="00B629DF"/>
    <w:rsid w:val="00B649FE"/>
    <w:rsid w:val="00B747BD"/>
    <w:rsid w:val="00B778DE"/>
    <w:rsid w:val="00B77E96"/>
    <w:rsid w:val="00B8225A"/>
    <w:rsid w:val="00B84672"/>
    <w:rsid w:val="00B876E3"/>
    <w:rsid w:val="00B87F7E"/>
    <w:rsid w:val="00B9408B"/>
    <w:rsid w:val="00BA1396"/>
    <w:rsid w:val="00BA24F2"/>
    <w:rsid w:val="00BA27AF"/>
    <w:rsid w:val="00BA5CF1"/>
    <w:rsid w:val="00BA6047"/>
    <w:rsid w:val="00BA67A8"/>
    <w:rsid w:val="00BB1209"/>
    <w:rsid w:val="00BC3EF8"/>
    <w:rsid w:val="00BC408F"/>
    <w:rsid w:val="00BC43DE"/>
    <w:rsid w:val="00BD039F"/>
    <w:rsid w:val="00BD11C6"/>
    <w:rsid w:val="00BD1268"/>
    <w:rsid w:val="00BD210D"/>
    <w:rsid w:val="00BD587D"/>
    <w:rsid w:val="00BD6BC7"/>
    <w:rsid w:val="00BD734F"/>
    <w:rsid w:val="00BE3E42"/>
    <w:rsid w:val="00BE5076"/>
    <w:rsid w:val="00BF0ADF"/>
    <w:rsid w:val="00BF1608"/>
    <w:rsid w:val="00BF19F8"/>
    <w:rsid w:val="00BF7A74"/>
    <w:rsid w:val="00C11B14"/>
    <w:rsid w:val="00C127A4"/>
    <w:rsid w:val="00C166BF"/>
    <w:rsid w:val="00C16971"/>
    <w:rsid w:val="00C17AAF"/>
    <w:rsid w:val="00C25C70"/>
    <w:rsid w:val="00C31647"/>
    <w:rsid w:val="00C46C1A"/>
    <w:rsid w:val="00C5268F"/>
    <w:rsid w:val="00C52A99"/>
    <w:rsid w:val="00C52B29"/>
    <w:rsid w:val="00C56EEA"/>
    <w:rsid w:val="00C6220C"/>
    <w:rsid w:val="00C63E51"/>
    <w:rsid w:val="00C73F74"/>
    <w:rsid w:val="00C803D7"/>
    <w:rsid w:val="00C8343C"/>
    <w:rsid w:val="00C8374D"/>
    <w:rsid w:val="00C85000"/>
    <w:rsid w:val="00C85A4E"/>
    <w:rsid w:val="00C86A79"/>
    <w:rsid w:val="00C8703E"/>
    <w:rsid w:val="00C90423"/>
    <w:rsid w:val="00C914E3"/>
    <w:rsid w:val="00C92E3C"/>
    <w:rsid w:val="00CC046F"/>
    <w:rsid w:val="00CC3980"/>
    <w:rsid w:val="00CC471E"/>
    <w:rsid w:val="00CC4D9B"/>
    <w:rsid w:val="00CD6844"/>
    <w:rsid w:val="00CD75A2"/>
    <w:rsid w:val="00CE1EC6"/>
    <w:rsid w:val="00CF105C"/>
    <w:rsid w:val="00CF6ACE"/>
    <w:rsid w:val="00D00251"/>
    <w:rsid w:val="00D050DC"/>
    <w:rsid w:val="00D068F3"/>
    <w:rsid w:val="00D06C7F"/>
    <w:rsid w:val="00D113D5"/>
    <w:rsid w:val="00D1676A"/>
    <w:rsid w:val="00D24517"/>
    <w:rsid w:val="00D25BFB"/>
    <w:rsid w:val="00D318C1"/>
    <w:rsid w:val="00D33B26"/>
    <w:rsid w:val="00D33B2F"/>
    <w:rsid w:val="00D37EB8"/>
    <w:rsid w:val="00D53A68"/>
    <w:rsid w:val="00D5406C"/>
    <w:rsid w:val="00D561E3"/>
    <w:rsid w:val="00D64C37"/>
    <w:rsid w:val="00D654BA"/>
    <w:rsid w:val="00D65C0B"/>
    <w:rsid w:val="00D80A55"/>
    <w:rsid w:val="00D83EAA"/>
    <w:rsid w:val="00D86008"/>
    <w:rsid w:val="00D87A49"/>
    <w:rsid w:val="00D91570"/>
    <w:rsid w:val="00D92327"/>
    <w:rsid w:val="00D92AF5"/>
    <w:rsid w:val="00D94781"/>
    <w:rsid w:val="00D976A5"/>
    <w:rsid w:val="00D97B38"/>
    <w:rsid w:val="00DA05A2"/>
    <w:rsid w:val="00DA0D37"/>
    <w:rsid w:val="00DA356F"/>
    <w:rsid w:val="00DA48BB"/>
    <w:rsid w:val="00DB1C9C"/>
    <w:rsid w:val="00DB37BB"/>
    <w:rsid w:val="00DB5018"/>
    <w:rsid w:val="00DC34F5"/>
    <w:rsid w:val="00DC3B6B"/>
    <w:rsid w:val="00DC512F"/>
    <w:rsid w:val="00DC73CA"/>
    <w:rsid w:val="00DD4E54"/>
    <w:rsid w:val="00DD6CE1"/>
    <w:rsid w:val="00DE0E6F"/>
    <w:rsid w:val="00DF1B07"/>
    <w:rsid w:val="00DF1E9B"/>
    <w:rsid w:val="00DF2E52"/>
    <w:rsid w:val="00DF3A43"/>
    <w:rsid w:val="00DF68BF"/>
    <w:rsid w:val="00E01051"/>
    <w:rsid w:val="00E05168"/>
    <w:rsid w:val="00E05376"/>
    <w:rsid w:val="00E05F79"/>
    <w:rsid w:val="00E10C87"/>
    <w:rsid w:val="00E12A7F"/>
    <w:rsid w:val="00E17A63"/>
    <w:rsid w:val="00E17D3C"/>
    <w:rsid w:val="00E26940"/>
    <w:rsid w:val="00E2728F"/>
    <w:rsid w:val="00E356F6"/>
    <w:rsid w:val="00E504E2"/>
    <w:rsid w:val="00E50B4E"/>
    <w:rsid w:val="00E538B1"/>
    <w:rsid w:val="00E53946"/>
    <w:rsid w:val="00E54677"/>
    <w:rsid w:val="00E547E1"/>
    <w:rsid w:val="00E66576"/>
    <w:rsid w:val="00E74135"/>
    <w:rsid w:val="00E7748F"/>
    <w:rsid w:val="00E84EA6"/>
    <w:rsid w:val="00E937EB"/>
    <w:rsid w:val="00EA159F"/>
    <w:rsid w:val="00EA2E84"/>
    <w:rsid w:val="00EA3141"/>
    <w:rsid w:val="00EA3C6C"/>
    <w:rsid w:val="00EA6276"/>
    <w:rsid w:val="00EA773B"/>
    <w:rsid w:val="00EB4102"/>
    <w:rsid w:val="00EB5593"/>
    <w:rsid w:val="00EC1FA8"/>
    <w:rsid w:val="00EC2B4D"/>
    <w:rsid w:val="00EC2E22"/>
    <w:rsid w:val="00EC5CDF"/>
    <w:rsid w:val="00ED5708"/>
    <w:rsid w:val="00ED6657"/>
    <w:rsid w:val="00EE2BE5"/>
    <w:rsid w:val="00EE45E9"/>
    <w:rsid w:val="00EF043F"/>
    <w:rsid w:val="00EF5CF7"/>
    <w:rsid w:val="00F078D6"/>
    <w:rsid w:val="00F11323"/>
    <w:rsid w:val="00F1170D"/>
    <w:rsid w:val="00F139E0"/>
    <w:rsid w:val="00F14CCF"/>
    <w:rsid w:val="00F1565E"/>
    <w:rsid w:val="00F2367B"/>
    <w:rsid w:val="00F24B1A"/>
    <w:rsid w:val="00F31816"/>
    <w:rsid w:val="00F3265F"/>
    <w:rsid w:val="00F326EC"/>
    <w:rsid w:val="00F365A0"/>
    <w:rsid w:val="00F422C5"/>
    <w:rsid w:val="00F44A5D"/>
    <w:rsid w:val="00F45029"/>
    <w:rsid w:val="00F46567"/>
    <w:rsid w:val="00F50ADC"/>
    <w:rsid w:val="00F5410E"/>
    <w:rsid w:val="00F57934"/>
    <w:rsid w:val="00F57A45"/>
    <w:rsid w:val="00F61431"/>
    <w:rsid w:val="00F61D4D"/>
    <w:rsid w:val="00F64236"/>
    <w:rsid w:val="00F65041"/>
    <w:rsid w:val="00F74812"/>
    <w:rsid w:val="00F74D8D"/>
    <w:rsid w:val="00F83873"/>
    <w:rsid w:val="00F838E9"/>
    <w:rsid w:val="00F85C9E"/>
    <w:rsid w:val="00F86473"/>
    <w:rsid w:val="00F8744B"/>
    <w:rsid w:val="00F91FEA"/>
    <w:rsid w:val="00F94D1D"/>
    <w:rsid w:val="00F95D93"/>
    <w:rsid w:val="00FA1D61"/>
    <w:rsid w:val="00FA61FA"/>
    <w:rsid w:val="00FB2B2E"/>
    <w:rsid w:val="00FB32B5"/>
    <w:rsid w:val="00FB379E"/>
    <w:rsid w:val="00FB54E5"/>
    <w:rsid w:val="00FB5D70"/>
    <w:rsid w:val="00FC47DF"/>
    <w:rsid w:val="00FC54E9"/>
    <w:rsid w:val="00FC5F7A"/>
    <w:rsid w:val="00FC6F68"/>
    <w:rsid w:val="00FC71A4"/>
    <w:rsid w:val="00FC7518"/>
    <w:rsid w:val="00FC7578"/>
    <w:rsid w:val="00FD049E"/>
    <w:rsid w:val="00FD05C9"/>
    <w:rsid w:val="00FD2AFE"/>
    <w:rsid w:val="00FD3720"/>
    <w:rsid w:val="00FE0488"/>
    <w:rsid w:val="00FE439A"/>
    <w:rsid w:val="00FF238E"/>
    <w:rsid w:val="00FF4309"/>
    <w:rsid w:val="00FF6DF9"/>
    <w:rsid w:val="057F13E1"/>
    <w:rsid w:val="24806EE4"/>
    <w:rsid w:val="24BC32DA"/>
    <w:rsid w:val="2C3A210E"/>
    <w:rsid w:val="2CBB231A"/>
    <w:rsid w:val="3A830B88"/>
    <w:rsid w:val="53E605A8"/>
    <w:rsid w:val="54FA013D"/>
    <w:rsid w:val="5A372751"/>
    <w:rsid w:val="73307147"/>
    <w:rsid w:val="79AD29A2"/>
    <w:rsid w:val="7A3B6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111CE"/>
  <w15:docId w15:val="{C354B31C-53E3-4354-ADBB-92C1AFC5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20"/>
    <w:qFormat/>
    <w:pPr>
      <w:jc w:val="left"/>
    </w:pPr>
  </w:style>
  <w:style w:type="paragraph" w:styleId="a5">
    <w:name w:val="Body Text"/>
    <w:basedOn w:val="a"/>
    <w:link w:val="1"/>
    <w:qFormat/>
    <w:pPr>
      <w:spacing w:line="360" w:lineRule="auto"/>
    </w:pPr>
    <w:rPr>
      <w:rFonts w:ascii="仿宋_GB2312" w:eastAsia="仿宋_GB2312"/>
      <w:color w:val="000000"/>
      <w:kern w:val="0"/>
      <w:sz w:val="24"/>
      <w:szCs w:val="28"/>
    </w:rPr>
  </w:style>
  <w:style w:type="paragraph" w:styleId="a6">
    <w:name w:val="Body Text Indent"/>
    <w:basedOn w:val="a"/>
    <w:link w:val="10"/>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2">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1"/>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2">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semiHidden/>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3"/>
    <w:qFormat/>
    <w:rPr>
      <w:b/>
      <w:bCs/>
    </w:rPr>
  </w:style>
  <w:style w:type="character" w:styleId="ae">
    <w:name w:val="Strong"/>
    <w:qFormat/>
    <w:rPr>
      <w:b/>
      <w:bCs/>
    </w:rPr>
  </w:style>
  <w:style w:type="character" w:styleId="af">
    <w:name w:val="page number"/>
    <w:qFormat/>
  </w:style>
  <w:style w:type="character" w:styleId="af0">
    <w:name w:val="FollowedHyperlink"/>
    <w:uiPriority w:val="99"/>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14">
    <w:name w:val="批注文字 字符1"/>
    <w:qFormat/>
    <w:rPr>
      <w:rFonts w:ascii="Times New Roman" w:eastAsia="宋体" w:hAnsi="Times New Roman" w:cs="Times New Roman"/>
      <w:szCs w:val="24"/>
    </w:rPr>
  </w:style>
  <w:style w:type="character" w:customStyle="1" w:styleId="210">
    <w:name w:val="正文文本缩进 2 字符1"/>
    <w:link w:val="22"/>
    <w:qFormat/>
    <w:rPr>
      <w:rFonts w:ascii="宋体" w:eastAsia="宋体" w:hAnsi="宋体" w:cs="Times New Roman"/>
      <w:sz w:val="28"/>
      <w:szCs w:val="20"/>
    </w:rPr>
  </w:style>
  <w:style w:type="character" w:customStyle="1" w:styleId="ab">
    <w:name w:val="页眉 字符"/>
    <w:link w:val="aa"/>
    <w:uiPriority w:val="99"/>
    <w:qFormat/>
    <w:rPr>
      <w:sz w:val="18"/>
      <w:szCs w:val="18"/>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正文文本缩进 3 字符"/>
    <w:uiPriority w:val="99"/>
    <w:semiHidden/>
    <w:qFormat/>
    <w:rPr>
      <w:rFonts w:ascii="Times New Roman" w:eastAsia="宋体" w:hAnsi="Times New Roman" w:cs="Times New Roman"/>
      <w:sz w:val="16"/>
      <w:szCs w:val="16"/>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20">
    <w:name w:val="批注文字 字符2"/>
    <w:link w:val="a4"/>
    <w:uiPriority w:val="99"/>
    <w:qFormat/>
    <w:rPr>
      <w:rFonts w:ascii="Times New Roman" w:eastAsia="宋体" w:hAnsi="Times New Roman" w:cs="Times New Roman"/>
      <w:szCs w:val="24"/>
    </w:rPr>
  </w:style>
  <w:style w:type="character" w:customStyle="1" w:styleId="af3">
    <w:name w:val="正文文本缩进 字符"/>
    <w:uiPriority w:val="99"/>
    <w:semiHidden/>
    <w:qFormat/>
    <w:rPr>
      <w:rFonts w:ascii="Times New Roman" w:eastAsia="宋体" w:hAnsi="Times New Roman" w:cs="Times New Roman"/>
      <w:szCs w:val="24"/>
    </w:rPr>
  </w:style>
  <w:style w:type="character" w:customStyle="1" w:styleId="af4">
    <w:name w:val="批注主题 字符"/>
    <w:uiPriority w:val="99"/>
    <w:semiHidden/>
    <w:qFormat/>
    <w:rPr>
      <w:rFonts w:ascii="Times New Roman" w:eastAsia="宋体" w:hAnsi="Times New Roman" w:cs="Times New Roman"/>
      <w:b/>
      <w:bCs/>
      <w:szCs w:val="24"/>
    </w:rPr>
  </w:style>
  <w:style w:type="character" w:customStyle="1" w:styleId="af5">
    <w:name w:val="批注框文本 字符"/>
    <w:uiPriority w:val="99"/>
    <w:semiHidden/>
    <w:qFormat/>
    <w:rPr>
      <w:rFonts w:ascii="Times New Roman" w:eastAsia="宋体" w:hAnsi="Times New Roman" w:cs="Times New Roman"/>
      <w:sz w:val="18"/>
      <w:szCs w:val="18"/>
    </w:rPr>
  </w:style>
  <w:style w:type="character" w:customStyle="1" w:styleId="11">
    <w:name w:val="批注框文本 字符1"/>
    <w:link w:val="a7"/>
    <w:semiHidden/>
    <w:qFormat/>
    <w:rPr>
      <w:rFonts w:ascii="Times New Roman" w:eastAsia="宋体" w:hAnsi="Times New Roman" w:cs="Times New Roman"/>
      <w:sz w:val="18"/>
      <w:szCs w:val="18"/>
    </w:rPr>
  </w:style>
  <w:style w:type="character" w:customStyle="1" w:styleId="Char1">
    <w:name w:val="批注文字 Char1"/>
    <w:qFormat/>
    <w:rPr>
      <w:rFonts w:ascii="Times New Roman" w:eastAsia="宋体" w:hAnsi="Times New Roman" w:cs="Times New Roman"/>
      <w:szCs w:val="24"/>
    </w:rPr>
  </w:style>
  <w:style w:type="character" w:customStyle="1" w:styleId="af6">
    <w:name w:val="批注文字 字符"/>
    <w:semiHidden/>
    <w:qFormat/>
    <w:rPr>
      <w:rFonts w:ascii="Times New Roman" w:eastAsia="宋体" w:hAnsi="Times New Roman" w:cs="Times New Roman"/>
      <w:szCs w:val="24"/>
    </w:rPr>
  </w:style>
  <w:style w:type="character" w:customStyle="1" w:styleId="read">
    <w:name w:val="read"/>
    <w:qFormat/>
  </w:style>
  <w:style w:type="character" w:customStyle="1" w:styleId="HTML0">
    <w:name w:val="HTML 预设格式 字符"/>
    <w:uiPriority w:val="99"/>
    <w:semiHidden/>
    <w:qFormat/>
    <w:rPr>
      <w:rFonts w:ascii="Courier New" w:eastAsia="宋体" w:hAnsi="Courier New" w:cs="Courier New"/>
      <w:sz w:val="20"/>
      <w:szCs w:val="20"/>
    </w:rPr>
  </w:style>
  <w:style w:type="character" w:customStyle="1" w:styleId="13">
    <w:name w:val="批注主题 字符1"/>
    <w:link w:val="ad"/>
    <w:qFormat/>
    <w:rPr>
      <w:rFonts w:ascii="Times New Roman" w:eastAsia="宋体" w:hAnsi="Times New Roman" w:cs="Times New Roman"/>
      <w:b/>
      <w:bCs/>
      <w:szCs w:val="24"/>
    </w:rPr>
  </w:style>
  <w:style w:type="character" w:customStyle="1" w:styleId="25">
    <w:name w:val="正文文本缩进 2 字符"/>
    <w:uiPriority w:val="99"/>
    <w:semiHidden/>
    <w:qFormat/>
    <w:rPr>
      <w:rFonts w:ascii="Times New Roman" w:eastAsia="宋体" w:hAnsi="Times New Roman" w:cs="Times New Roman"/>
      <w:szCs w:val="24"/>
    </w:rPr>
  </w:style>
  <w:style w:type="character" w:customStyle="1" w:styleId="Char">
    <w:name w:val="页脚 Char"/>
    <w:uiPriority w:val="99"/>
    <w:qFormat/>
    <w:rPr>
      <w:sz w:val="18"/>
      <w:szCs w:val="18"/>
    </w:rPr>
  </w:style>
  <w:style w:type="character" w:customStyle="1" w:styleId="Char0">
    <w:name w:val="页眉 Char"/>
    <w:uiPriority w:val="99"/>
    <w:qFormat/>
    <w:rPr>
      <w:sz w:val="18"/>
      <w:szCs w:val="18"/>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9">
    <w:name w:val="页脚 字符"/>
    <w:link w:val="a8"/>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character" w:customStyle="1" w:styleId="10">
    <w:name w:val="正文文本缩进 字符1"/>
    <w:link w:val="a6"/>
    <w:qFormat/>
    <w:rPr>
      <w:rFonts w:ascii="Times New Roman" w:eastAsia="方正仿宋简体" w:hAnsi="Times New Roman" w:cs="Times New Roman"/>
      <w:sz w:val="24"/>
      <w:szCs w:val="30"/>
    </w:rPr>
  </w:style>
  <w:style w:type="character" w:customStyle="1" w:styleId="1">
    <w:name w:val="正文文本 字符1"/>
    <w:link w:val="a5"/>
    <w:qFormat/>
    <w:rPr>
      <w:rFonts w:ascii="仿宋_GB2312" w:eastAsia="仿宋_GB2312" w:hAnsi="Times New Roman" w:cs="Times New Roman"/>
      <w:color w:val="000000"/>
      <w:kern w:val="0"/>
      <w:sz w:val="24"/>
      <w:szCs w:val="28"/>
    </w:rPr>
  </w:style>
  <w:style w:type="character" w:customStyle="1" w:styleId="af7">
    <w:name w:val="正文文本 字符"/>
    <w:uiPriority w:val="99"/>
    <w:semiHidden/>
    <w:qFormat/>
    <w:rPr>
      <w:rFonts w:ascii="Times New Roman" w:eastAsia="宋体" w:hAnsi="Times New Roman" w:cs="Times New Roman"/>
      <w:szCs w:val="24"/>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customStyle="1" w:styleId="CharCharChar">
    <w:name w:val="Char Char 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
    <w:name w:val="Char Char"/>
    <w:basedOn w:val="a"/>
    <w:qFormat/>
    <w:rPr>
      <w:szCs w:val="20"/>
    </w:rPr>
  </w:style>
  <w:style w:type="paragraph" w:customStyle="1" w:styleId="Char2">
    <w:name w:val="Char"/>
    <w:basedOn w:val="a"/>
    <w:qFormat/>
  </w:style>
  <w:style w:type="paragraph" w:customStyle="1" w:styleId="15">
    <w:name w:val="修订1"/>
    <w:uiPriority w:val="99"/>
    <w:semiHidden/>
    <w:qFormat/>
    <w:rPr>
      <w:rFonts w:ascii="Times New Roman" w:hAnsi="Times New Roman"/>
      <w:kern w:val="2"/>
      <w:sz w:val="21"/>
      <w:szCs w:val="24"/>
    </w:rPr>
  </w:style>
  <w:style w:type="paragraph" w:customStyle="1" w:styleId="CharCharCharCharCharCharChar1CharCharCharCharCharChar">
    <w:name w:val="Char Char Char Char Char Char Char1 Char Char Char Char Char Char"/>
    <w:basedOn w:val="a"/>
    <w:qFormat/>
  </w:style>
  <w:style w:type="paragraph" w:customStyle="1" w:styleId="26">
    <w:name w:val="修订2"/>
    <w:hidden/>
    <w:uiPriority w:val="99"/>
    <w:semiHidden/>
    <w:qFormat/>
    <w:rPr>
      <w:rFonts w:ascii="Times New Roman" w:hAnsi="Times New Roman"/>
      <w:kern w:val="2"/>
      <w:sz w:val="21"/>
      <w:szCs w:val="24"/>
    </w:rPr>
  </w:style>
  <w:style w:type="paragraph" w:customStyle="1" w:styleId="33">
    <w:name w:val="修订3"/>
    <w:hidden/>
    <w:uiPriority w:val="99"/>
    <w:semiHidden/>
    <w:rPr>
      <w:rFonts w:ascii="Times New Roman" w:hAnsi="Times New Roman"/>
      <w:kern w:val="2"/>
      <w:sz w:val="21"/>
      <w:szCs w:val="24"/>
    </w:rPr>
  </w:style>
  <w:style w:type="paragraph" w:styleId="af8">
    <w:name w:val="Revision"/>
    <w:hidden/>
    <w:uiPriority w:val="99"/>
    <w:semiHidden/>
    <w:rsid w:val="006E6C04"/>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37EC-5D1E-46F0-9895-CA313AE0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44</Pages>
  <Words>5132</Words>
  <Characters>29257</Characters>
  <Application>Microsoft Office Word</Application>
  <DocSecurity>0</DocSecurity>
  <Lines>243</Lines>
  <Paragraphs>68</Paragraphs>
  <ScaleCrop>false</ScaleCrop>
  <Company>神州网信技术有限公司</Company>
  <LinksUpToDate>false</LinksUpToDate>
  <CharactersWithSpaces>34321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王悦棋</cp:lastModifiedBy>
  <cp:revision>118</cp:revision>
  <cp:lastPrinted>2025-12-04T06:56:00Z</cp:lastPrinted>
  <dcterms:created xsi:type="dcterms:W3CDTF">2025-09-01T09:18:00Z</dcterms:created>
  <dcterms:modified xsi:type="dcterms:W3CDTF">2026-01-22T09:19:00Z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F2CF8C89592B4F3B9FA45E3DADACFB95</vt:lpwstr>
  </property>
</Properties>
</file>